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Üniversitelerarası Kurul Başkanlığı</w:t>
            </w:r>
          </w:p>
          <w:p>
            <w:pPr>
              <w:spacing w:after="40"/>
            </w:pPr>
            <w:r>
              <w:rPr>
                <w:sz w:val="18"/>
              </w:rPr>
              <w:t>Süre          : Jüri bilgilerinin öğrenilmesinden itibaren derhâl.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(Doçentlik Komisyonu)</w:t>
      </w:r>
    </w:p>
    <w:p>
      <w:pPr>
        <w:spacing w:after="200"/>
      </w:pPr>
      <w:r>
        <w:rPr>
          <w:b/>
        </w:rPr>
        <w:t xml:space="preserve">KONU : </w:t>
      </w:r>
      <w:r>
        <w:t>[DÖNEM] dönemi doçentlik başvurum için görevlendirilen [JÜRİ ÜYESİ UNVAN VE ADI] hakkında tarafsızlık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[DÖNEM] dönemi doçentlik başvurum için oluşturulan jüride [JÜRİ ÜYESİ UNVAN VE ADI] görevlendirilmiştir.</w:t>
      </w:r>
    </w:p>
    <w:p>
      <w:pPr>
        <w:spacing w:after="120"/>
        <w:jc w:val="both"/>
      </w:pPr>
      <w:r>
        <w:t>2. Adı geçen jüri üyesi ile aramda [İLİŞKİNİN NİTELİĞİ: ortak yayın / danışmanlık ilişkisi / aynı birimde görev / devam eden hukuki uyuşmazlık] bulunmaktadır. [KISA AÇIKLAMA VE TARİHLER]</w:t>
      </w:r>
    </w:p>
    <w:p>
      <w:pPr>
        <w:spacing w:after="120"/>
        <w:jc w:val="both"/>
      </w:pPr>
      <w:r>
        <w:t>3. Bu ilişki, değerlendirmenin nesnelliği bakımından haklı bir şüphe doğurmaktadır. [VARSA BELGE: ortak yayının künyesi, yazışma, dava dosya numarası] ekte sunulmuştur.</w:t>
      </w:r>
    </w:p>
    <w:p>
      <w:pPr>
        <w:spacing w:after="120"/>
        <w:jc w:val="both"/>
      </w:pPr>
      <w:r>
        <w:t>4. Değerlendirmenin tarafsızlığı yalnızca sonucun doğruluğu bakımından değil, sürecin güvenilirliği bakımından da korunmalıdır.</w:t>
      </w:r>
    </w:p>
    <w:p>
      <w:pPr>
        <w:spacing w:before="200" w:after="80"/>
      </w:pPr>
      <w:r>
        <w:rPr>
          <w:b/>
          <w:sz w:val="22"/>
        </w:rPr>
        <w:t>HUKUKİ DAYANAK</w:t>
      </w:r>
    </w:p>
    <w:p>
      <w:pPr>
        <w:jc w:val="both"/>
      </w:pPr>
      <w:r>
        <w:t>İdari usulde tarafsızlık ilkesi, çekinme ve ret kurumlarına ilişkin genel esaslar ile Doçentlik Yönetmeliğinin jüri oluşumuna ilişkin hükümleri. Dayanak ve süreler genel çerçevedir; [dosya bazında teyit edilmelidir]</w:t>
      </w:r>
    </w:p>
    <w:p>
      <w:pPr>
        <w:spacing w:before="200" w:after="80"/>
      </w:pPr>
      <w:r>
        <w:rPr>
          <w:b/>
          <w:sz w:val="22"/>
        </w:rPr>
        <w:t>SONUÇ VE TALEP</w:t>
      </w:r>
    </w:p>
    <w:p>
      <w:pPr>
        <w:jc w:val="both"/>
      </w:pPr>
      <w:r>
        <w:t>[JÜRİ ÜYESİ UNVAN VE ADI] yerine başka bir jüri üyesinin görevlendirilmesini, bu aşamaya kadar düzenlenmiş raporun değerlendirmeye esas alınmamasını arz ederim.</w:t>
      </w:r>
    </w:p>
    <w:p>
      <w:pPr>
        <w:spacing w:before="200" w:after="80"/>
      </w:pPr>
      <w:r>
        <w:rPr>
          <w:b/>
          <w:sz w:val="22"/>
        </w:rPr>
        <w:t>EKLER</w:t>
      </w:r>
    </w:p>
    <w:p>
      <w:pPr>
        <w:spacing w:after="0"/>
      </w:pPr>
      <w:r>
        <w:t>1. Jüri bilgisini gösteren ekran görüntüsü.</w:t>
      </w:r>
    </w:p>
    <w:p>
      <w:pPr>
        <w:spacing w:after="0"/>
      </w:pPr>
      <w:r>
        <w:t>2. İlişkiyi gösteren belge (ortak yayın künyesi / yazışma / dava belgesi).</w:t>
      </w:r>
    </w:p>
    <w:p>
      <w:pPr>
        <w:spacing w:after="0"/>
      </w:pPr>
      <w:r>
        <w:t>3.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