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Etik Komisyonu / üniversitenin etik kurulu</w:t>
            </w:r>
          </w:p>
          <w:p>
            <w:pPr>
              <w:spacing w:after="40"/>
            </w:pPr>
            <w:r>
              <w:rPr>
                <w:sz w:val="18"/>
              </w:rPr>
              <w:t>Süre          : Savunma isteme yazısında verilen süre içinde (genellikle 15 gün; yazıda belirtilen süre esastır).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(Bilimsel Araştırma ve Yayın Etiği Komisyonu)</w:t>
      </w:r>
    </w:p>
    <w:p>
      <w:pPr>
        <w:spacing w:after="200"/>
      </w:pPr>
      <w:r>
        <w:rPr>
          <w:b/>
        </w:rPr>
        <w:t xml:space="preserve">KONU : </w:t>
      </w:r>
      <w:r>
        <w:t>Hakkımda ileri sürülen intihal iddiasına karşı savunmamdır.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tarihli yazı ile [ESER ADI] adlı çalışmam bakımından intihal iddiasında bulunulduğu tarafıma bildirilmiş ve savunmam istenmiştir.</w:t>
      </w:r>
    </w:p>
    <w:p>
      <w:pPr>
        <w:spacing w:after="120"/>
        <w:jc w:val="both"/>
      </w:pPr>
      <w:r>
        <w:t>2. İddiaya konu bölüm, çalışmamın [SAYFA/BÖLÜM] kısmıdır. Bu bölümde [KAYNAK ESER] adlı çalışmadan yararlanılmış ve kaynak [ATIF BİÇİMİ: metin içi atıf / dipnot] ile gösterilmiştir. İlgili sayfa ve kaynakça ekte sunulmuştur.</w:t>
      </w:r>
    </w:p>
    <w:p>
      <w:pPr>
        <w:spacing w:after="120"/>
        <w:jc w:val="both"/>
      </w:pPr>
      <w:r>
        <w:t>3. Benzerlik oranına dayanılıyorsa, benzerlik raporlarının tek başına intihal göstergesi olmadığı bilinmektedir. Rapor; kaynakça, alıntı blokları, yöntem bölümündeki standart ifadeler ve mevzuat metinlerini de benzerlik olarak sayabilmektedir. Bu kalemler çıkarıldığında benzerlik oranı [ORAN] düzeyine inmektedir.</w:t>
      </w:r>
    </w:p>
    <w:p>
      <w:pPr>
        <w:spacing w:after="120"/>
        <w:jc w:val="both"/>
      </w:pPr>
      <w:r>
        <w:t>4. İntihal, başkasının eserini kaynak göstermeksizin kendi eseri gibi sunmaktır. Somut olayda kaynak gösterilmiş olup, varsa eksiklik atıf biçimine ilişkin teknik bir kusurdur; bilimsel dürüstlüğe aykırı bir kast bulunmamaktadır.</w:t>
      </w:r>
    </w:p>
    <w:p>
      <w:pPr>
        <w:spacing w:after="120"/>
        <w:jc w:val="both"/>
      </w:pPr>
      <w:r>
        <w:t>5. Çalışmanın hazırlık sürecine ilişkin taslaklar, ham veriler ve tarih bilgisi taşıyan dosyalar ekte sunulmuştur.</w:t>
      </w:r>
    </w:p>
    <w:p>
      <w:pPr>
        <w:spacing w:before="200" w:after="80"/>
      </w:pPr>
      <w:r>
        <w:rPr>
          <w:b/>
          <w:sz w:val="22"/>
        </w:rPr>
        <w:t>HUKUKİ DAYANAK</w:t>
      </w:r>
    </w:p>
    <w:p>
      <w:pPr>
        <w:jc w:val="both"/>
      </w:pPr>
      <w:r>
        <w:t>Yükseköğretim Kurumları Bilimsel Araştırma ve Yayın Etiği Yönergesi ile ilgili yönetmeliklerin intihal tanımı; savunma hakkı; kusur ve kast değerlendirmesi. Dayanak ve süreler genel çerçevedir; [dosya bazında teyit edilmelidir]</w:t>
      </w:r>
    </w:p>
    <w:p>
      <w:pPr>
        <w:spacing w:before="200" w:after="80"/>
      </w:pPr>
      <w:r>
        <w:rPr>
          <w:b/>
          <w:sz w:val="22"/>
        </w:rPr>
        <w:t>SONUÇ VE TALEP</w:t>
      </w:r>
    </w:p>
    <w:p>
      <w:pPr>
        <w:jc w:val="both"/>
      </w:pPr>
      <w:r>
        <w:t>Hakkımdaki intihal iddiasının yerinde olmadığının tespitiyle dosyanın işlemden kaldırılmasını; aksi kanaatte olunması hâlinde dosyanın bilirkişi incelemesine gönderilmesini arz ederim.</w:t>
      </w:r>
    </w:p>
    <w:p>
      <w:pPr>
        <w:spacing w:before="200" w:after="80"/>
      </w:pPr>
      <w:r>
        <w:rPr>
          <w:b/>
          <w:sz w:val="22"/>
        </w:rPr>
        <w:t>EKLER</w:t>
      </w:r>
    </w:p>
    <w:p>
      <w:pPr>
        <w:spacing w:after="0"/>
      </w:pPr>
      <w:r>
        <w:t>1. Savunma isteme yazısı.</w:t>
      </w:r>
    </w:p>
    <w:p>
      <w:pPr>
        <w:spacing w:after="0"/>
      </w:pPr>
      <w:r>
        <w:t>2. İddiaya konu eserin tam metni.</w:t>
      </w:r>
    </w:p>
    <w:p>
      <w:pPr>
        <w:spacing w:after="0"/>
      </w:pPr>
      <w:r>
        <w:t>3. Atıf ve kaynakça sayfaları.</w:t>
      </w:r>
    </w:p>
    <w:p>
      <w:pPr>
        <w:spacing w:after="0"/>
      </w:pPr>
      <w:r>
        <w:t>4. Benzerlik raporu ve kalem kalem değerlendirmesi.</w:t>
      </w:r>
    </w:p>
    <w:p>
      <w:pPr>
        <w:spacing w:after="0"/>
      </w:pPr>
      <w:r>
        <w:t>5. Hazırlık dosyaları / ham veri.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