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120" w:after="240" w:line="240" w:lineRule="auto"/>
        <w:jc w:val="center"/>
      </w:pPr>
      <w:r>
        <w:rPr>
          <w:rFonts w:ascii="Cambria" w:hAnsi="Cambria" w:eastAsia="Cambria" w:cs="Cambria"/>
          <w:b/>
          <w:sz w:val="24"/>
        </w:rPr>
        <w:t>ETIK KURUL UYGUNLUK KARARI</w:t>
      </w:r>
    </w:p>
    <w:tbl>
      <w:tblPr>
        <w:tblW w:type="dxa" w:w="9689"/>
        <w:jc w:val="center"/>
        <w:tblLayout w:type="fixed"/>
        <w:tblLook w:firstColumn="1" w:firstRow="1" w:lastColumn="0" w:lastRow="0" w:noHBand="0" w:noVBand="1" w:val="04A0"/>
        <w:tblInd w:type="dxa" w:w="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689"/>
      </w:tblGrid>
      <w:tr>
        <w:tc>
          <w:tcPr>
            <w:tcW w:type="dxa" w:w="9689"/>
            <w:vAlign w:val="center"/>
            <w:tcMar>
              <w:top w:w="110" w:type="dxa"/>
              <w:left w:w="120" w:type="dxa"/>
              <w:bottom w:w="110" w:type="dxa"/>
              <w:right w:w="120" w:type="dxa"/>
            </w:tcMar>
            <w:shd w:val="clear" w:color="auto" w:fill="F2F4F7"/>
          </w:tcPr>
          <w:p>
            <w:pPr>
              <w:spacing w:after="80"/>
            </w:pPr>
            <w:r/>
            <w:r>
              <w:rPr>
                <w:rFonts w:ascii="Cambria" w:hAnsi="Cambria" w:eastAsia="Cambria" w:cs="Cambria"/>
                <w:b/>
                <w:sz w:val="18"/>
              </w:rPr>
              <w:t>KULLANIM NOTU</w:t>
            </w:r>
          </w:p>
          <w:p>
            <w:pPr>
              <w:spacing w:after="60"/>
              <w:jc w:val="both"/>
            </w:pPr>
            <w:r>
              <w:rPr>
                <w:rFonts w:ascii="Cambria" w:hAnsi="Cambria" w:eastAsia="Cambria" w:cs="Cambria"/>
                <w:sz w:val="18"/>
              </w:rPr>
              <w:t>Bu karar taslağı genel bir örnektir. Her dosyanın olayı, tarihleri ve belgeleri farklıdır; metin ve alanlar somut duruma ve ilgili kurumun güncel düzenlemelerine göre uyarlanmalıdır. Köşeli parantez içindeki alanlar doldurulacak yerlerdir.</w:t>
            </w:r>
          </w:p>
          <w:p>
            <w:pPr>
              <w:spacing w:after="0"/>
            </w:pPr>
            <w:r>
              <w:rPr>
                <w:rFonts w:ascii="Cambria" w:hAnsi="Cambria" w:eastAsia="Cambria" w:cs="Cambria"/>
                <w:sz w:val="18"/>
              </w:rPr>
              <w:t>Kaynak : akademikhukuk.org/akademik-dilekce-ornekleri</w:t>
            </w:r>
          </w:p>
        </w:tc>
      </w:tr>
    </w:tbl>
    <w:p>
      <w:pPr>
        <w:spacing w:before="0" w:after="40" w:line="240" w:lineRule="auto"/>
      </w:pPr>
      <w:r>
        <w:rPr>
          <w:rFonts w:ascii="Cambria" w:hAnsi="Cambria" w:eastAsia="Cambria" w:cs="Cambria"/>
          <w:b w:val="0"/>
          <w:sz w:val="6"/>
        </w:rPr>
      </w:r>
    </w:p>
    <w:tbl>
      <w:tblPr>
        <w:tblW w:type="dxa" w:w="9689"/>
        <w:jc w:val="center"/>
        <w:tblLayout w:type="fixed"/>
        <w:tblLook w:firstColumn="1" w:firstRow="1" w:lastColumn="0" w:lastRow="0" w:noHBand="0" w:noVBand="1" w:val="04A0"/>
        <w:tblInd w:type="dxa" w:w="0"/>
        <w:tblBorders>
          <w:top w:val="single" w:sz="4" w:space="0" w:color="C8C8C8"/>
          <w:left w:val="single" w:sz="4" w:space="0" w:color="C8C8C8"/>
          <w:bottom w:val="single" w:sz="4" w:space="0" w:color="C8C8C8"/>
          <w:right w:val="single" w:sz="4" w:space="0" w:color="C8C8C8"/>
          <w:insideH w:val="single" w:sz="4" w:space="0" w:color="C8C8C8"/>
          <w:insideV w:val="single" w:sz="4" w:space="0" w:color="C8C8C8"/>
        </w:tblBorders>
      </w:tblPr>
      <w:tblGrid>
        <w:gridCol w:w="2500"/>
        <w:gridCol w:w="7189"/>
      </w:tblGrid>
      <w:tr>
        <w:tc>
          <w:tcPr>
            <w:tcW w:type="dxa" w:w="2500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  <w:shd w:val="clear" w:color="auto" w:fill="F2F4F7"/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Karar Organı</w:t>
            </w:r>
          </w:p>
        </w:tc>
        <w:tc>
          <w:tcPr>
            <w:tcW w:type="dxa" w:w="7189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 w:val="0"/>
                <w:sz w:val="20"/>
              </w:rPr>
              <w:t>[..... Üniversitesi ..... Fakültesi / Enstitüsü / Kurulu / Komisyonu]</w:t>
            </w:r>
          </w:p>
        </w:tc>
      </w:tr>
      <w:tr>
        <w:tc>
          <w:tcPr>
            <w:tcW w:type="dxa" w:w="2500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  <w:shd w:val="clear" w:color="auto" w:fill="F2F4F7"/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Toplantı Tarihi / Sayısı</w:t>
            </w:r>
          </w:p>
        </w:tc>
        <w:tc>
          <w:tcPr>
            <w:tcW w:type="dxa" w:w="7189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 w:val="0"/>
                <w:sz w:val="20"/>
              </w:rPr>
              <w:t>[.... / .... / ........] / [........]</w:t>
            </w:r>
          </w:p>
        </w:tc>
      </w:tr>
      <w:tr>
        <w:tc>
          <w:tcPr>
            <w:tcW w:type="dxa" w:w="2500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  <w:shd w:val="clear" w:color="auto" w:fill="F2F4F7"/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Karar No</w:t>
            </w:r>
          </w:p>
        </w:tc>
        <w:tc>
          <w:tcPr>
            <w:tcW w:type="dxa" w:w="7189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 w:val="0"/>
                <w:sz w:val="20"/>
              </w:rPr>
              <w:t>[........ / ........]</w:t>
            </w:r>
          </w:p>
        </w:tc>
      </w:tr>
      <w:tr>
        <w:tc>
          <w:tcPr>
            <w:tcW w:type="dxa" w:w="2500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  <w:shd w:val="clear" w:color="auto" w:fill="F2F4F7"/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Gündem Maddesi</w:t>
            </w:r>
          </w:p>
        </w:tc>
        <w:tc>
          <w:tcPr>
            <w:tcW w:type="dxa" w:w="7189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 w:val="0"/>
                <w:sz w:val="20"/>
              </w:rPr>
              <w:t>[........]</w:t>
            </w:r>
          </w:p>
        </w:tc>
      </w:tr>
      <w:tr>
        <w:tc>
          <w:tcPr>
            <w:tcW w:type="dxa" w:w="2500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  <w:shd w:val="clear" w:color="auto" w:fill="F2F4F7"/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Kararın Konusu</w:t>
            </w:r>
          </w:p>
        </w:tc>
        <w:tc>
          <w:tcPr>
            <w:tcW w:type="dxa" w:w="7189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 w:val="0"/>
                <w:sz w:val="20"/>
              </w:rPr>
              <w:t>Araştırma protokolünün etik ilkeler yönünden uygun, düzeltme gerekli veya uygun olmadığına karar verilmesi.</w:t>
            </w:r>
          </w:p>
        </w:tc>
      </w:tr>
    </w:tbl>
    <w:p>
      <w:pPr>
        <w:spacing w:before="0" w:after="20" w:line="240" w:lineRule="auto"/>
      </w:pPr>
      <w:r>
        <w:rPr>
          <w:rFonts w:ascii="Cambria" w:hAnsi="Cambria" w:eastAsia="Cambria" w:cs="Cambria"/>
          <w:b w:val="0"/>
          <w:sz w:val="6"/>
        </w:rPr>
      </w:r>
    </w:p>
    <w:p>
      <w:pPr>
        <w:spacing w:before="160" w:after="80" w:line="240" w:lineRule="auto"/>
      </w:pPr>
      <w:r>
        <w:rPr>
          <w:rFonts w:ascii="Cambria" w:hAnsi="Cambria" w:eastAsia="Cambria" w:cs="Cambria"/>
          <w:b/>
          <w:sz w:val="22"/>
        </w:rPr>
        <w:t>GÖRÜŞÜLEN</w:t>
      </w:r>
    </w:p>
    <w:p>
      <w:pPr>
        <w:spacing w:before="0" w:after="0" w:line="240" w:lineRule="auto"/>
        <w:jc w:val="both"/>
      </w:pPr>
      <w:r>
        <w:rPr>
          <w:rFonts w:ascii="Cambria" w:hAnsi="Cambria" w:eastAsia="Cambria" w:cs="Cambria"/>
          <w:b w:val="0"/>
          <w:sz w:val="22"/>
        </w:rPr>
        <w:t>[Başvuranın veya ilgili birimin tarih ve sayılı yazısı, ek belgeler ve raportör/komisyon değerlendirmesi görüşüldü.]</w:t>
      </w:r>
    </w:p>
    <w:p>
      <w:pPr>
        <w:spacing w:before="160" w:after="80" w:line="240" w:lineRule="auto"/>
      </w:pPr>
      <w:r>
        <w:rPr>
          <w:rFonts w:ascii="Cambria" w:hAnsi="Cambria" w:eastAsia="Cambria" w:cs="Cambria"/>
          <w:b/>
          <w:sz w:val="22"/>
        </w:rPr>
        <w:t>DAYANAK VE GEREKÇE</w:t>
      </w:r>
    </w:p>
    <w:p>
      <w:pPr>
        <w:spacing w:before="0" w:after="0" w:line="240" w:lineRule="auto"/>
        <w:jc w:val="both"/>
      </w:pPr>
      <w:r>
        <w:rPr>
          <w:rFonts w:ascii="Cambria" w:hAnsi="Cambria" w:eastAsia="Cambria" w:cs="Cambria"/>
          <w:b w:val="0"/>
          <w:sz w:val="22"/>
        </w:rPr>
        <w:t>[İlgili kanun, yönetmelik, yönerge, senato/kurul kararı ve somut olgular birlikte değerlendirilerek açık gerekçe yazılır.]</w:t>
      </w:r>
    </w:p>
    <w:p>
      <w:pPr>
        <w:spacing w:before="160" w:after="80" w:line="240" w:lineRule="auto"/>
      </w:pPr>
      <w:r>
        <w:rPr>
          <w:rFonts w:ascii="Cambria" w:hAnsi="Cambria" w:eastAsia="Cambria" w:cs="Cambria"/>
          <w:b/>
          <w:sz w:val="22"/>
        </w:rPr>
        <w:t>KARAR</w:t>
      </w:r>
    </w:p>
    <w:p>
      <w:pPr>
        <w:spacing w:before="0" w:after="0" w:line="240" w:lineRule="auto"/>
        <w:jc w:val="both"/>
      </w:pPr>
      <w:r>
        <w:rPr>
          <w:rFonts w:ascii="Cambria" w:hAnsi="Cambria" w:eastAsia="Cambria" w:cs="Cambria"/>
          <w:b w:val="0"/>
          <w:sz w:val="22"/>
        </w:rPr>
        <w:t>Araştırma protokolünün etik ilkeler yönünden uygun, düzeltme gerekli veya uygun olmadığına karar verilmesi hususunun [kabulüne / reddine / düzeltilmesine]; kararın ilgili birimlere bildirilmesine [oy birliği / oy çokluğu] ile karar verildi.</w:t>
      </w:r>
    </w:p>
    <w:p>
      <w:pPr>
        <w:spacing w:before="0" w:after="60" w:line="240" w:lineRule="auto"/>
      </w:pPr>
      <w:r>
        <w:rPr>
          <w:rFonts w:ascii="Cambria" w:hAnsi="Cambria" w:eastAsia="Cambria" w:cs="Cambria"/>
          <w:b w:val="0"/>
          <w:sz w:val="8"/>
        </w:rPr>
      </w:r>
    </w:p>
    <w:tbl>
      <w:tblPr>
        <w:tblW w:type="dxa" w:w="9689"/>
        <w:jc w:val="center"/>
        <w:tblLayout w:type="fixed"/>
        <w:tblLook w:firstColumn="1" w:firstRow="1" w:lastColumn="0" w:lastRow="0" w:noHBand="0" w:noVBand="1" w:val="04A0"/>
        <w:tblInd w:type="dxa" w:w="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2422"/>
        <w:gridCol w:w="2422"/>
        <w:gridCol w:w="2422"/>
        <w:gridCol w:w="2423"/>
      </w:tblGrid>
      <w:tr>
        <w:tc>
          <w:tcPr>
            <w:tcW w:type="dxa" w:w="2422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jc w:val="center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Başkan</w:t>
            </w:r>
          </w:p>
          <w:p>
            <w:pPr>
              <w:spacing w:after="0"/>
              <w:jc w:val="center"/>
            </w:pPr>
            <w:r>
              <w:rPr>
                <w:rFonts w:ascii="Cambria" w:hAnsi="Cambria" w:eastAsia="Cambria" w:cs="Cambria"/>
                <w:sz w:val="19"/>
              </w:rPr>
              <w:t>Ad Soyad: [............................]</w:t>
            </w:r>
          </w:p>
          <w:p>
            <w:pPr>
              <w:spacing w:after="0"/>
              <w:jc w:val="center"/>
            </w:pPr>
            <w:r>
              <w:rPr>
                <w:rFonts w:ascii="Cambria" w:hAnsi="Cambria" w:eastAsia="Cambria" w:cs="Cambria"/>
                <w:sz w:val="19"/>
              </w:rPr>
              <w:t>Tarih/İmza: [........................]</w:t>
            </w:r>
          </w:p>
        </w:tc>
        <w:tc>
          <w:tcPr>
            <w:tcW w:type="dxa" w:w="2422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jc w:val="center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Üye</w:t>
            </w:r>
          </w:p>
          <w:p>
            <w:pPr>
              <w:spacing w:after="0"/>
              <w:jc w:val="center"/>
            </w:pPr>
            <w:r>
              <w:rPr>
                <w:rFonts w:ascii="Cambria" w:hAnsi="Cambria" w:eastAsia="Cambria" w:cs="Cambria"/>
                <w:sz w:val="19"/>
              </w:rPr>
              <w:t>Ad Soyad: [............................]</w:t>
            </w:r>
          </w:p>
          <w:p>
            <w:pPr>
              <w:spacing w:after="0"/>
              <w:jc w:val="center"/>
            </w:pPr>
            <w:r>
              <w:rPr>
                <w:rFonts w:ascii="Cambria" w:hAnsi="Cambria" w:eastAsia="Cambria" w:cs="Cambria"/>
                <w:sz w:val="19"/>
              </w:rPr>
              <w:t>Tarih/İmza: [........................]</w:t>
            </w:r>
          </w:p>
        </w:tc>
        <w:tc>
          <w:tcPr>
            <w:tcW w:type="dxa" w:w="2422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jc w:val="center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Üye</w:t>
            </w:r>
          </w:p>
          <w:p>
            <w:pPr>
              <w:spacing w:after="0"/>
              <w:jc w:val="center"/>
            </w:pPr>
            <w:r>
              <w:rPr>
                <w:rFonts w:ascii="Cambria" w:hAnsi="Cambria" w:eastAsia="Cambria" w:cs="Cambria"/>
                <w:sz w:val="19"/>
              </w:rPr>
              <w:t>Ad Soyad: [............................]</w:t>
            </w:r>
          </w:p>
          <w:p>
            <w:pPr>
              <w:spacing w:after="0"/>
              <w:jc w:val="center"/>
            </w:pPr>
            <w:r>
              <w:rPr>
                <w:rFonts w:ascii="Cambria" w:hAnsi="Cambria" w:eastAsia="Cambria" w:cs="Cambria"/>
                <w:sz w:val="19"/>
              </w:rPr>
              <w:t>Tarih/İmza: [........................]</w:t>
            </w:r>
          </w:p>
        </w:tc>
        <w:tc>
          <w:tcPr>
            <w:tcW w:type="dxa" w:w="2423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jc w:val="center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Raportör</w:t>
            </w:r>
          </w:p>
          <w:p>
            <w:pPr>
              <w:spacing w:after="0"/>
              <w:jc w:val="center"/>
            </w:pPr>
            <w:r>
              <w:rPr>
                <w:rFonts w:ascii="Cambria" w:hAnsi="Cambria" w:eastAsia="Cambria" w:cs="Cambria"/>
                <w:sz w:val="19"/>
              </w:rPr>
              <w:t>Ad Soyad: [............................]</w:t>
            </w:r>
          </w:p>
          <w:p>
            <w:pPr>
              <w:spacing w:after="0"/>
              <w:jc w:val="center"/>
            </w:pPr>
            <w:r>
              <w:rPr>
                <w:rFonts w:ascii="Cambria" w:hAnsi="Cambria" w:eastAsia="Cambria" w:cs="Cambria"/>
                <w:sz w:val="19"/>
              </w:rPr>
              <w:t>Tarih/İmza: [........................]</w:t>
            </w:r>
          </w:p>
        </w:tc>
      </w:tr>
    </w:tbl>
    <w:p>
      <w:pPr>
        <w:spacing w:before="160" w:after="0" w:line="240" w:lineRule="auto"/>
      </w:pPr>
      <w:r>
        <w:rPr>
          <w:rFonts w:ascii="Cambria" w:hAnsi="Cambria" w:eastAsia="Cambria" w:cs="Cambria"/>
          <w:b w:val="0"/>
          <w:sz w:val="16"/>
        </w:rPr>
        <w:t>Bu örnek hukuki tavsiye değildir. · akademikhukuk.org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247" w:right="1134" w:bottom="124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/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/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Cambria" w:hAnsi="Cambria" w:eastAsia="Cambria" w:cs="Cambria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Etik Kurul Uygunluk Kararı</dc:title>
  <dc:subject>Akademik karar örneği</dc:subject>
  <dc:creator>akademikhukuk.org</dc:creator>
  <cp:keywords>yükseköğretim, akademik hukuk, örnek belge</cp:keywords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