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Etik Komisyonu / üniversitenin etik kurulu</w:t>
            </w:r>
          </w:p>
          <w:p>
            <w:pPr>
              <w:spacing w:after="40"/>
            </w:pPr>
            <w:r>
              <w:rPr>
                <w:sz w:val="18"/>
              </w:rPr>
              <w:t>Süre          : Savunma isteme yazısında verilen süre içinde.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(Bilimsel Araştırma ve Yayın Etiği Komisyonu)</w:t>
      </w:r>
    </w:p>
    <w:p>
      <w:pPr>
        <w:spacing w:after="200"/>
      </w:pPr>
      <w:r>
        <w:rPr>
          <w:b/>
        </w:rPr>
        <w:t xml:space="preserve">KONU : </w:t>
      </w:r>
      <w:r>
        <w:t>Hakkımda ileri sürülen çarpıtma ve/veya sahtecilik iddiasına karşı savunmamdır.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[TARİH] tarihli yazı ile [ESER ADI] adlı çalışmam bakımından çarpıtma / sahtecilik iddiasında bulunulduğu bildirilmiştir.</w:t>
      </w:r>
    </w:p>
    <w:p>
      <w:pPr>
        <w:spacing w:after="120"/>
        <w:jc w:val="both"/>
      </w:pPr>
      <w:r>
        <w:t>2. İddia [İDDİANIN ÖZÜ: verilerin değiştirildiği / bulunmayan verinin üretildiği / sonuçların desteklemediği yorumların yapıldığı] noktasındadır.</w:t>
      </w:r>
    </w:p>
    <w:p>
      <w:pPr>
        <w:spacing w:after="120"/>
        <w:jc w:val="both"/>
      </w:pPr>
      <w:r>
        <w:t>3. Çalışmada kullanılan ham veriler, ölçüm kayıtları ve analiz çıktıları ekte sunulmuştur. Yayımlanan tablolar bu ham verilerle birebir örtüşmektedir.</w:t>
      </w:r>
    </w:p>
    <w:p>
      <w:pPr>
        <w:spacing w:after="120"/>
        <w:jc w:val="both"/>
      </w:pPr>
      <w:r>
        <w:t>4. İddiaya konu farklılık, [AÇIKLAMA: yuvarlama, birim dönüşümü, dizgi hatası, eksik dipnot] kaynaklıdır ve verinin özüne etki etmemektedir. Bu husus dergiye bildirilerek düzeltme talep edilmiştir / edilecektir.</w:t>
      </w:r>
    </w:p>
    <w:p>
      <w:pPr>
        <w:spacing w:after="120"/>
        <w:jc w:val="both"/>
      </w:pPr>
      <w:r>
        <w:t>5. Çarpıtma ve sahtecilik, verinin bilerek değiştirilmesini gerektirir. Somut olayda böyle bir kast bulunmamaktadır.</w:t>
      </w:r>
    </w:p>
    <w:p>
      <w:pPr>
        <w:spacing w:before="200" w:after="80"/>
      </w:pPr>
      <w:r>
        <w:rPr>
          <w:b/>
          <w:sz w:val="22"/>
        </w:rPr>
        <w:t>HUKUKİ DAYANAK</w:t>
      </w:r>
    </w:p>
    <w:p>
      <w:pPr>
        <w:jc w:val="both"/>
      </w:pPr>
      <w:r>
        <w:t>Bilimsel Araştırma ve Yayın Etiği Yönergesinin çarpıtma ve sahtecilik tanımları; kusur ve kast değerlendirmesi; savunma hakkı. Dayanak ve süreler genel çerçevedir; [dosya bazında teyit edilmelidir]</w:t>
      </w:r>
    </w:p>
    <w:p>
      <w:pPr>
        <w:spacing w:before="200" w:after="80"/>
      </w:pPr>
      <w:r>
        <w:rPr>
          <w:b/>
          <w:sz w:val="22"/>
        </w:rPr>
        <w:t>SONUÇ VE TALEP</w:t>
      </w:r>
    </w:p>
    <w:p>
      <w:pPr>
        <w:jc w:val="both"/>
      </w:pPr>
      <w:r>
        <w:t>İddianın yerinde olmadığının tespitini, ham verilerin incelenmesini, gerekirse alanında uzman bilirkişi görevlendirilmesini ve dosyanın işlemden kaldırılmasını arz ederim.</w:t>
      </w:r>
    </w:p>
    <w:p>
      <w:pPr>
        <w:spacing w:before="200" w:after="80"/>
      </w:pPr>
      <w:r>
        <w:rPr>
          <w:b/>
          <w:sz w:val="22"/>
        </w:rPr>
        <w:t>EKLER</w:t>
      </w:r>
    </w:p>
    <w:p>
      <w:pPr>
        <w:spacing w:after="0"/>
      </w:pPr>
      <w:r>
        <w:t>1. Savunma isteme yazısı.</w:t>
      </w:r>
    </w:p>
    <w:p>
      <w:pPr>
        <w:spacing w:after="0"/>
      </w:pPr>
      <w:r>
        <w:t>2. Eserin tam metni.</w:t>
      </w:r>
    </w:p>
    <w:p>
      <w:pPr>
        <w:spacing w:after="0"/>
      </w:pPr>
      <w:r>
        <w:t>3. Ham veri dosyaları ve analiz çıktıları.</w:t>
      </w:r>
    </w:p>
    <w:p>
      <w:pPr>
        <w:spacing w:after="0"/>
      </w:pPr>
      <w:r>
        <w:t>4. Varsa dergiye yapılan düzeltme başvurusu.</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