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İdare Mahkemesi</w:t>
            </w:r>
          </w:p>
          <w:p>
            <w:pPr>
              <w:spacing w:after="40"/>
            </w:pPr>
            <w:r>
              <w:rPr>
                <w:sz w:val="18"/>
              </w:rPr>
              <w:t>Süre          : Tebliğden veya öğrenmeden itibaren 60 gün. [dosya bazında teyit edilmelidir]</w:t>
            </w:r>
          </w:p>
          <w:p>
            <w:pPr>
              <w:spacing w:after="40"/>
            </w:pPr>
            <w:r>
              <w:rPr>
                <w:sz w:val="18"/>
              </w:rPr>
              <w:t>Kaynak        : akademikhukuk.org/akademik-dilekce-ornekleri</w:t>
            </w:r>
          </w:p>
        </w:tc>
      </w:tr>
    </w:tbl>
    <w:p/>
    <w:p>
      <w:pPr>
        <w:spacing w:before="120" w:after="320"/>
        <w:jc w:val="center"/>
      </w:pPr>
      <w:r>
        <w:rPr>
          <w:b/>
          <w:sz w:val="24"/>
        </w:rPr>
        <w:t>[ ] NÖBETÇİ İDARE MAHKEMESİ BAŞKANLIĞINA</w:t>
        <w:br/>
        <w:t>(Yürütmenin durdurulması taleplidir)</w:t>
      </w:r>
    </w:p>
    <w:p>
      <w:pPr>
        <w:spacing w:after="200"/>
      </w:pPr>
      <w:r>
        <w:rPr>
          <w:b/>
        </w:rPr>
        <w:t xml:space="preserve">KONU : </w:t>
      </w:r>
      <w:r>
        <w:t>[BİRİM] [UNVAN] kadrosuna atanmama işleminin iptali ile yürütmesinin durdurulması istemidir.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Davacı, [İLAN TARİHİ] tarihli ilanla duyurulan [UNVAN] kadrosuna usulüne uygun başvurmuştur.</w:t>
      </w:r>
    </w:p>
    <w:p>
      <w:pPr>
        <w:spacing w:after="120"/>
        <w:jc w:val="both"/>
      </w:pPr>
      <w:r>
        <w:t>2. Değerlendirme sonucunda kadroya [ATANAN KİŞİ / başka bir aday] atanmış, davacının başvurusu değerlendirme dışı bırakılmıştır.</w:t>
      </w:r>
    </w:p>
    <w:p>
      <w:pPr>
        <w:spacing w:after="120"/>
        <w:jc w:val="both"/>
      </w:pPr>
      <w:r>
        <w:t>3. Davacının akademik yayınları, atıf sayısı ve deneyimi atanan adaya göre üstündür. Karşılaştırma tablosu ekte sunulmuştur.</w:t>
      </w:r>
    </w:p>
    <w:p>
      <w:pPr>
        <w:spacing w:after="120"/>
        <w:jc w:val="both"/>
      </w:pPr>
      <w:r>
        <w:t>4. Jüri raporlarında davacı hakkında olumsuz değerlendirme yer alıyorsa, bu değerlendirmeler somut gerekçe içermemektedir.</w:t>
      </w:r>
    </w:p>
    <w:p>
      <w:pPr>
        <w:spacing w:after="120"/>
        <w:jc w:val="both"/>
      </w:pPr>
      <w:r>
        <w:t>5. İdarenin takdir yetkisi mutlak olmayıp kamu yararı ve hizmet gerekleriyle sınırlıdır; ayrıca gerekçe denetime elverişli olmalıdır.</w:t>
      </w:r>
    </w:p>
    <w:p>
      <w:pPr>
        <w:spacing w:after="120"/>
        <w:jc w:val="both"/>
      </w:pPr>
      <w:r>
        <w:t>6. İşlemin uygulanması hâlinde kadro doldurulacağından telafisi güç zarar doğacaktır.</w:t>
      </w:r>
    </w:p>
    <w:p>
      <w:pPr>
        <w:spacing w:before="200" w:after="80"/>
      </w:pPr>
      <w:r>
        <w:rPr>
          <w:b/>
          <w:sz w:val="22"/>
        </w:rPr>
        <w:t>HUKUKİ DAYANAK</w:t>
      </w:r>
    </w:p>
    <w:p>
      <w:pPr>
        <w:jc w:val="both"/>
      </w:pPr>
      <w:r>
        <w:t>2577 sayılı Kanun m.2, m.7, m.27; 2547 sayılı Kanun; Öğretim Üyeliğine Yükseltilme ve Atanma Yönetmeliği. Dayanak ve süreler genel çerçevedir; [dosya bazında teyit edilmelidir]</w:t>
      </w:r>
    </w:p>
    <w:p>
      <w:pPr>
        <w:spacing w:before="200" w:after="80"/>
      </w:pPr>
      <w:r>
        <w:rPr>
          <w:b/>
          <w:sz w:val="22"/>
        </w:rPr>
        <w:t>SONUÇ VE TALEP</w:t>
      </w:r>
    </w:p>
    <w:p>
      <w:pPr>
        <w:jc w:val="both"/>
      </w:pPr>
      <w:r>
        <w:t>Öncelikle yürütmenin durdurulmasına, yargılama sonunda işlemin iptaline, yargılama giderleri ve vekâlet ücretinin davalı idareye yükletilmesine karar verilmesini talep ederim.</w:t>
      </w:r>
    </w:p>
    <w:p>
      <w:pPr>
        <w:spacing w:before="200" w:after="80"/>
      </w:pPr>
      <w:r>
        <w:rPr>
          <w:b/>
          <w:sz w:val="22"/>
        </w:rPr>
        <w:t>EKLER</w:t>
      </w:r>
    </w:p>
    <w:p>
      <w:pPr>
        <w:spacing w:after="0"/>
      </w:pPr>
      <w:r>
        <w:t>1. İlan metni.</w:t>
      </w:r>
    </w:p>
    <w:p>
      <w:pPr>
        <w:spacing w:after="0"/>
      </w:pPr>
      <w:r>
        <w:t>2. Başvuru belgeleri.</w:t>
      </w:r>
    </w:p>
    <w:p>
      <w:pPr>
        <w:spacing w:after="0"/>
      </w:pPr>
      <w:r>
        <w:t>3. Atama işlemi / sonuç ilanı.</w:t>
      </w:r>
    </w:p>
    <w:p>
      <w:pPr>
        <w:spacing w:after="0"/>
      </w:pPr>
      <w:r>
        <w:t>4. Adaylar arası karşılaştırma tablosu.</w:t>
      </w:r>
    </w:p>
    <w:p>
      <w:pPr>
        <w:spacing w:after="0"/>
      </w:pPr>
      <w:r>
        <w:t>5. Jüri raporları (varsa).</w:t>
      </w:r>
    </w:p>
    <w:p>
      <w:pPr>
        <w:spacing w:after="0"/>
      </w:pPr>
      <w:r>
        <w:t>6. Harç ve masraf makbuzu.</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