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Görev süresi uzatma yetkisini kullanan makam</w:t>
            </w:r>
          </w:p>
          <w:p>
            <w:pPr>
              <w:spacing w:after="40"/>
            </w:pPr>
            <w:r>
              <w:rPr>
                <w:sz w:val="18"/>
              </w:rPr>
              <w:t>Süre          : İşlemin tebliğinden itibaren derhâl;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Görev süremin uzatılmamasına ilişkin [KARAR TARİHİ] tarihli işleme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[BİRİM] biriminde [UNVAN] olarak [BAŞLANGIÇ TARİHİ] tarihinden bu yana görev yapmaktayım.</w:t>
      </w:r>
    </w:p>
    <w:p>
      <w:pPr>
        <w:spacing w:after="120"/>
        <w:jc w:val="both"/>
      </w:pPr>
      <w:r>
        <w:t>2. [KARAR TARİHİ] tarihli işlemle görev sürem uzatılmamıştır. İşlemde herhangi bir gerekçe gösterilmemiştir.</w:t>
      </w:r>
    </w:p>
    <w:p>
      <w:pPr>
        <w:spacing w:after="120"/>
        <w:jc w:val="both"/>
      </w:pPr>
      <w:r>
        <w:t>3. Görev süresi uzatılmaması, sonuçları itibarıyla göreve son verme niteliğindedir. Bu nedenle gerekçesiz tesis edilemez.</w:t>
      </w:r>
    </w:p>
    <w:p>
      <w:pPr>
        <w:spacing w:after="120"/>
        <w:jc w:val="both"/>
      </w:pPr>
      <w:r>
        <w:t>4. Görev süresi boyunca [FAALİYETLER: ders yükü, yayınlar, projeler, tez danışmanlıkları] gerçekleştirilmiştir. Performansıma ilişkin belgeler ektedir.</w:t>
      </w:r>
    </w:p>
    <w:p>
      <w:pPr>
        <w:spacing w:after="120"/>
        <w:jc w:val="both"/>
      </w:pPr>
      <w:r>
        <w:t>5. Hakkımda olumsuz bir disiplin işlemi veya performans değerlendirmesi bulunmamaktadır.</w:t>
      </w:r>
    </w:p>
    <w:p>
      <w:pPr>
        <w:spacing w:before="200" w:after="80"/>
      </w:pPr>
      <w:r>
        <w:rPr>
          <w:b/>
          <w:sz w:val="22"/>
        </w:rPr>
        <w:t>HUKUKİ DAYANAK</w:t>
      </w:r>
    </w:p>
    <w:p>
      <w:pPr>
        <w:jc w:val="both"/>
      </w:pPr>
      <w:r>
        <w:t>2547 sayılı Kanunun öğretim elemanlarının görev süresine ilişkin hükümleri; idari işlemlerin gerekçeli olması ve hukuki güvenlik ilkesi. Dayanak ve süreler genel çerçevedir; [dosya bazında teyit edilmelidir]</w:t>
      </w:r>
    </w:p>
    <w:p>
      <w:pPr>
        <w:spacing w:before="200" w:after="80"/>
      </w:pPr>
      <w:r>
        <w:rPr>
          <w:b/>
          <w:sz w:val="22"/>
        </w:rPr>
        <w:t>SONUÇ VE TALEP</w:t>
      </w:r>
    </w:p>
    <w:p>
      <w:pPr>
        <w:jc w:val="both"/>
      </w:pPr>
      <w:r>
        <w:t>Görev süremin uzatılmamasına ilişkin işlemin geri alınarak görev süremin uzatılmasını; aksi hâlde işlemin gerekçesinin tarafıma yazılı olarak bildirilmesini arz ederim.</w:t>
      </w:r>
    </w:p>
    <w:p>
      <w:pPr>
        <w:spacing w:before="200" w:after="80"/>
      </w:pPr>
      <w:r>
        <w:rPr>
          <w:b/>
          <w:sz w:val="22"/>
        </w:rPr>
        <w:t>EKLER</w:t>
      </w:r>
    </w:p>
    <w:p>
      <w:pPr>
        <w:spacing w:after="0"/>
      </w:pPr>
      <w:r>
        <w:t>1. İşlem yazısı ve tebliğ belgesi.</w:t>
      </w:r>
    </w:p>
    <w:p>
      <w:pPr>
        <w:spacing w:after="0"/>
      </w:pPr>
      <w:r>
        <w:t>2. Faaliyet raporu / yayın listesi.</w:t>
      </w:r>
    </w:p>
    <w:p>
      <w:pPr>
        <w:spacing w:after="0"/>
      </w:pPr>
      <w:r>
        <w:t>3. Ders yükü belgesi.</w:t>
      </w:r>
    </w:p>
    <w:p>
      <w:pPr>
        <w:spacing w:after="0"/>
      </w:pPr>
      <w:r>
        <w:t>4. Danışmanlık ve proje belgeleri.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