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[KARARI VEREN] SULH CEZA HÂKİMLİĞİ / MAHKEMESİ ARACILIĞIYLA İTİRAZ MERCİİNE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[SORGU/ESAS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Adli kontrol kararına itiraz ile tedbirin kaldırılması veya değiştirilmesi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İTİRAZ EDEN (ŞÜPHELİ/SANIK MÜDAFİİ)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[HÂKİMLİK/MAHKEME], [KARAR TARİHİ] tarihli kararla şüpheli/sanık hakkında [TEDBİR: yurt dışı çıkış yasağı / imza yükümlülüğü / konutu terk etmeme] adli kontrol tedbiri uygulamıştır; itiraz yasal süresi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Tedbirin dayandığı şüphe ve olgular gösterilmemiştir; mevcut delil durumu tedbiri gerektirmemektedir: [AÇIKLAMA].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Tedbir, şüphelinin/sanığın [ÇALIŞMA HAYATI / EĞİTİMİ / SAĞLIK DURUMU / AİLE YAŞAMI] üzerinde ölçüsüz külfet doğurmaktadır: [SOMUT ETKİLER].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[Değişiklik istemi] Aynı amaca daha hafif bir tedbirle ulaşılabilir: [ÖNERİLEN TEDBİR].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CMK m. 109-111, m. 267 vd.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İtirazın kabulü ile adli kontrol tedbirinin KALDIRILMASINA; olmadığı takdirde daha hafif bir tedbirle DEĞİŞTİRİLMESİNE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Karar örneği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İş/eğitim/sağlık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Kontrol Kararına İtiraz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