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[DAVANIN AÇILACAĞI/GÖRÜLDÜĞÜ]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Yargılama gider ve harçlarından geçici muafiyet (adli yardım)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ADLİ YARDIM TALEP EDEN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Talep eden, [AÇILACAK/GÖRÜLEN DAVA: konu ve taraflar] davasında yargılama giderlerini karşılayacak ekonomik güçten yoksundur.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Ekonomik durum şudur: [GELİR DURUMU, ÇALIŞMA DURUMU, BAKMAKLA YÜKÜMLÜ OLUNAN KİŞİLER, KİRA, BORÇLAR]; belgeleri ektedir: [MUHTARLIK FAKİRLİK BELGESİ, GELİR BELGESİ, SGK DÖKÜMÜ].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Dava, açıkça dayanaktan yoksun değildir; talebin özeti ve haklılık gerekçesi şudur: [KISA AÇIKLAMA].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Giderlerin karşılanamaması hâlinde hak arama özgürlüğü fiilen kullanılamayacaktır.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HMK m. 334-340; Anayasa m. 36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Adli yardım talebimin kabulü ile yargılama harç ve giderlerinden geçici olarak MUAF TUTULMAMA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Fakirlik/ekonomik durum belgeleri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Nüfus kayıt örneği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Adli Yardım Talebi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