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Ödenmeyen ortak gider ve avans paylarının ödenmesi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(YÖNETİCİ/YÖNETİM)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(KAT MALİKİ/KİRACI)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Muhatap, [SİTE/APARTMAN ADI VE ADRESİ] anagayrimenkulünde [BLOK/DAİRE NO] bağımsız bölümün [MALİKİ/KİRACISI]dır.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Kat malikleri kurulunun [TARİH] tarihli kararı ve işletme projesi uyarınca aylık aidat [TUTAR] TL'dir.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Muhatabın [DÖNEM] dönemine ait ödenmemiş aidat borcu toplam [TUTAR] TL'dir: [AY AY DÖKÜM].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Kat Mülkiyeti Kanunu m. 20 uyarınca ödemede geciken kat maliki, aylık yüzde beş gecikme tazminatı ödemekle yükümlüdür.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634 sayılı Kat Mülkiyeti Kanunu m. 20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Birikmiş [TUTAR] TL ortak gider borcunun, işleyen gecikme tazminatıyla birlikte işbu ihtarnamenin tebliğinden itibaren [SÜRE, ör. 7] gün içinde [IBAN/HESAP] hesabına ödenmesini; ödenmediği takdirde icra takibi ve dava yoluna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Borç dökümü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Kat malikleri kurulu kararı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Apartman Ortak Gider (Aidat) Borcu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