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[.....] AİLE MAHKEMESİNE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[ESAS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Dava dilekçesine karşı yasal süresi içinde cevaplarımız ile karşı taleplerimizin sunulmasıdır.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CEVAP VEREN (DAVALI)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 dilekçesi [TEBLİĞ TARİHİ] tarihinde tebliğ edilmiş olup cevaplar iki haftalık yasal süresi içindedir.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Davacının dilekçesinde ileri sürdüğü olaylar gerçeği yansıtmamaktadır: [HANGİ İDDİANIN NEDEN DOĞRU OLMADIĞI].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Evlilik birliğinin sarsılmasına yol açan olaylarda kusur davacıdadır: [SOMUT OLAYLAR].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[Varsa] Müşterek çocukların üstün yararı velayetin cevap verene bırakılmasını gerektirir.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5. Davacının nafaka ve tazminat taleplerinin koşulları oluşmamıştır; talepler fahiştir.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166, m. 174-176; HMK m. 126-129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Açıklanan nedenlerle davacının haksız taleplerinin REDDİNE; [karşı dava/velayet/nafaka taleplerimiz varsa belirtilir]; yargılama giderleri ile vekâlet ücretinin davacıya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Cevaba esas belgeler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Tanık listesi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Boşanma Davasına Cevap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