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NÖBETÇİ AİLE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Evlilik birliğinin temelinden sarsılması nedeniyle boşanma, velayet, nafaka ile maddi ve manevi tazminat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Taraflar [EVLENME TARİHİ] tarihinde evlenmiş olup bu evlilikten [SAYI] müşterek çocukları vardır: [ÇOCUKLARIN ADI VE DOĞUM TARİHLERİ].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Evlilik birliği, davalının kusurlu davranışları nedeniyle temelinden sarsılmıştır. Boşanmaya esas olaylar tarih sırasıyla şunlardır: [SOMUT OLAYLAR].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Ortak hayatın sürdürülmesi taraflardan beklenemez hâle gelmiş; evlilik birliğinin devamında davacı ve çocuklar bakımından korunmaya değer bir yarar kalmamıştır.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Müşterek çocukların yaşları, bakım ve eğitim ihtiyaçları gözetildiğinde velayetin davacıya verilmesi çocukların üstün yararınadır.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5. Davacı, boşanma yüzünden mevcut ve beklenen menfaatlerini yitirmiş; kişilik hakları saldırıya uğramıştır.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TMK m. 166/1-2, m. 169, m. 174-176, m. 182, m. 336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Nüfus kayıtları, tanık, [varsa] mesaj ve görüntü kayıtları, ekonomik ve sosyal durum araştırması, bilirkişi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Davanın kabulü ile tarafların BOŞANMALARINA; müşterek çocukların velayetinin davacıya verilmesine; çocuklar için aylık [TUTAR] TL tedbir-iştirak nafakasına, davacı için aylık [TUTAR] TL tedbir-yoksulluk nafakasına; [TUTAR] TL maddi ve [TUTAR] TL manevi tazminata; yargılama giderleri ile vekâlet ücretinin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Nüfus kayıt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Delil listesinde sayılan belgeler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Çekişmeli Boşanma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