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AİLE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Velayeti davalıda bulunan müşterek çocukla davacı arasında kişisel ilişki kurulması / mevcut kişisel ilişkinin yeniden düzenlenmesi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[BOŞANMA/VELAYET KARARI: MAHKEME, TARİH, SAYI] uyarınca müşterek çocuğun velayeti davalıya verilmiş; davacıyla [MEVCUT DÜZENLEME] şeklinde kişisel ilişki kurulmuştur.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[Mevcut düzenleme uygulanamamakta / yetersiz kalmaktadır]: [KARŞILAŞILAN SORUNLAR: görüşmenin engellenmesi, mesafe, okul düzeni, çocuğun yaşının değişmesi].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Çocuğun ana-babadan her ikisiyle düzenli ve sağlıklı ilişki kurması, kişilik gelişimi ve üstün yararı gereğidir.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Talep edilen düzenleme şudur: [HAFTA SONU, YARIYIL VE YAZ TATİLİ, DİNÎ BAYRAMLAR, ÖZEL GÜNLER için gün ve saatler].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323-326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Velayet kararı, uzman incelemesi,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müşterek çocukla davacı arasında dilekçede belirtilen şekilde KİŞİSEL İLİŞKİ KURULMASINA/YENİDEN DÜZENLENMESİNE;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Velayet/boşanma kararı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Engellemeye ilişkin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Çocukla Kişisel İlişki Kurulması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