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MAHKEMESİNE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Davadan feragat edildiğinin bildirilmesidir.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FERAGAT EDEN (DAVACI)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Mahkemenizin yukarıda numarası yazılı dosyasında davacı sıfatıyla açtığım dava derdesttir.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Davacı, [TARAFLARIN HARİCEN ANLAŞMASI / TALEP KONUSUNUN ORTADAN KALKMASI / DİĞER SEBEP] nedeniyle davadan ve talep sonucundan özgür iradesiyle kısmen/tamamen feragat etmektedir: [FERAGATİN KAPSAMI].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Feragatin kesin hüküm gibi sonuç doğuracağı ve feragatten dönülemeyeceği bilinmektedir.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[Yargılama giderleri ve vekâlet ücreti konusundaki beyan: taraflarca anlaşıldığı üzere / kanuni hükümlere göre].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HMK m. 307-312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Davadan feragat ettiğimin kabulü ile feragat nedeniyle davanın REDDİNE karar verilmesini saygıyla arz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fotokopisi / [Vekille] Feragat yetkili vekâletname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Davadan Feragat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