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Taşınmaza yönelik haksız el atmanın önlenmesi ve eski hâle getirme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[TAPU BİLGİLERİ] taşınmazın malikidir.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Davalı, taşınmaza şu şekilde haksız olarak el atmaktadır: [DUVAR/BİNA TAŞIRMA, EKİP BİÇME, YOL GEÇİRME, İŞGAL — başlangıç tarihi ve kapsamı].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El atmanın hukuki dayanağı yoktur; davacının sözlü ve yazılı uyarıları sonuçsuz kalmıştır: [UYARILAR].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El atma nedeniyle davacı taşınmazını kullanamamaktadır; [varsa] zarar da doğmuştur: [ZARAR KALEMLERİ].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683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kayıtları, keşif, fen ve inşaat bilirkişisi incelemesi, fotoğraflar,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davalının taşınmaza El ATMASININ ÖNLENMESİNE; [varsa] muhdesatın kaldırılarak eski hâle getirilmesine ve [TUTAR] TL zararın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Fotoğraf ve tespit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Atmanın Önlenmesi (Müdahalenin Men'i)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