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İŞ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Ödenmeyen fazla çalışma ücretlerinin tahsili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Davacı, davalı işyerinde [İŞE GİRİŞ] – [İŞTEN ÇIKIŞ] tarihleri arasında [GÖREV] olarak, en son [ÜCRET] TL ücretle çalışmıştır.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Davacı çalışma süresi boyunca haftanın [GÜN] günü [BAŞLANGIÇ]–[BİTİŞ] saatleri arasında çalışmış; haftalık çalışma süresi kırk beş saati düzenli olarak aşmıştır: [ÇALIŞMA DÜZENİNİN AYRINTISI].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Fazla çalışma ücretleri ödenmemiş; bordrolara da yansıtılmamıştır. [Bordrolarda tahakkuk varsa gerçeği yansıtmadığı açıklanır.]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Dava şartı arabuluculuk süreci [TARİH] tarihli anlaşamama tutanağıyla sonuçlanmıştır.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4857 sayılı İş Kanunu m. 41, m. 63; 7036 sayılı Kanun m. 3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İşyeri kayıtları, puantaj ve giriş-çıkış kayıtları, ücret bordroları, tanık, bilirkişi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Fazlaya ilişkin haklar saklı kalmak üzere şimdilik [TUTAR] TL fazla çalışma ücretinin bankalarca mevduata uygulanan en yüksek faiziyle davalıdan tahsiline; yargılama giderleri ile vekâlet ücretinin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Arabuluculuk son tutanağı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Mesai çizelgeleri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Ücret bordroları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Fazla Mesai Ücreti Alacağı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