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[İL/İLÇE] İCRA HUKUK MAHKEMESİNE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Haczedilemeyecek mal ve haklar üzerine konulan haczin kaldırılması şikâyetidir.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ŞİKÂYET EDEN (BORÇLU)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KARŞI TARAF (ALACAKLI) : </w:t>
      </w:r>
      <w:r>
        <w:rPr>
          <w:rFonts w:ascii="Times New Roman" w:hAnsi="Times New Roman"/>
          <w:sz w:val="24"/>
        </w:rPr>
        <w:t>[AD SOYAD / UNVAN]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[ADRES]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[İCRA DAİRESİ, TAKİP NO] sayılı dosyada [HACİZ TARİHİ] tarihinde şu mal/hak üzerine haciz konulmuştur: [HACZEDİLEN MAL/HAK/HESAP].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Haczedilen; [EMEKLİ MAAŞI / SGK GELİRİ / EKONOMİK FAALİYETİ İÇİN ZORUNLU MESLEK EŞYASI / HACİZDEN MUAF DİĞER MAL VE HAK] niteliğindedir ve haczi mümkün değildir.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[Maaş haczinde] Ücretin ancak dörtte biri haczedilebilir; mevcut kesinti bu sınırı aşmaktadır: [KESİNTİ BİLGİSİ].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4. Şikâyet, öğrenme tarihinden itibaren yedi günlük süre içindedir. [Emekli aylığı haczinde süresiz şikâyet hükümleri saklıdır.]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İİK m. 16, m. 82-83; 5510 sayılı Kanun m. 93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SONUÇ VE TALEP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Şikâyetin kabulü ile [HACZEDİLEN MAL/HAK] üzerindeki haczin KALDIRILMASINA; [yapılan kesintiler varsa iadesine]; yargılama giderlerinin karşı tarafa yükletilmesine karar verilmesini saygıyla arz ve talep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Haciz tutanağı/müzekkere örneği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2. [Maaş için] Maaş bordrosu veya banka dökümü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Haczedilmezlik Şikâyeti Dilekçesi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