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ASLİYE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Haksız fiil nedeniyle maddi ve manevi tazminat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Davalı, [OLAY TARİHİ] tarihinde [OLAY YERİ]nde davacıya karşı şu haksız fiili işlemiştir: [YARALAMA, MALA ZARAR VERME, DİĞER — olayın oluşumu].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[Varsa] Olayla ilgili ceza soruşturması/davası: [SAVCILIK/MAHKEME, DOSYA NO, SONUÇ].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Davacının maddi zararları: [TEDAVİ GİDERLERİ, ÇALIŞILAMAYAN SÜRE KAYBI, ONARIM BEDELİ — kalem kalem]; zarar ile fiil arasında illiyet bağı tamdır.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Olay, davacıda ağır elem ve ıstıraba yol açmıştır; manevi tazminat koşulları oluşmuştur.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49-52, m. 56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[Varsa] Ceza dosyası, sağlık raporları, fatura ve giderler, tanık, bilirkişi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[TUTAR] TL maddi ve [TUTAR] TL manevi tazminatın olay tarihinden itibaren yasal faiziyle davalıdan tahsiline; yargılama giderleri ile vekâlet ücretinin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[Varsa] Ceza dosyası bilgileri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Zarar belgeleri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Haksız Fiile Dayalı Maddi ve Manevi Tazminat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