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İCRA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İcra dosyasında yapılan ihalenin feshi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FESİH TALEP EDEN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KARŞI TARAF (ALACAKLI/İHALE ALICISI)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[İCRA DAİRESİ, TAKİP NO] sayılı dosyada [İHALE KONUSU MAL] [İHALE TARİHİ] tarihinde [İHALE BEDELİ] TL bedelle ihale edilmiştir.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İhale şu nedenlerle usulsüzdür: [SATIŞ İLANININ TEBLİĞ EDİLMEMESİ / İLAN VE SATIŞ KOŞULLARINA AYKIRILIK / KIYMET TAKDİRİNİN KESİNLEŞMEMESİ / İHALEYE FESAT KARIŞTIRILMASI / MALIN ESASLI NİTELİKLERİNDE HATA].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Usulsüzlük, ihale bedelinin düşük oluşmasına ve talep edenin zararına yol açmıştır.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Talep, ihale tarihinden (öğrenme hâlinde öğrenmeden) itibaren yedi günlük süre içindedir.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İİK m. 134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Talebin kabulü ile [İHALE TARİHİ] tarihli ihalenin FESHİNE; yargılama giderlerinin karşı tarafa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İhale tutanağı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Usulsüzlüğü gösteren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İhalenin Feshi Talebi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