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SULH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Bir kira yılı içinde iki haklı ihtara sebebiyet verilmesi nedeniyle kiralananın tahliyesi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Davalı, [ADRES] adresindeki taşınmazda [SÖZLEŞME TARİHİ] tarihli sözleşmeyle kiracıdır.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Davalı, [KİRA YILI] kira yılı içinde [AY] ayı kirasını ödemediğinden [İHTAR-1 TARİHİ] tarihli, [AY] ayı kirasını ödemediğinden [İHTAR-2 TARİHİ] tarihli ihtarnameler keşide edilmiş; ihtarlar usulüne uygun tebliğ edilmiştir.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Her iki ihtar da kira bedelinin ödenmemesine dayalı ve haklıdır.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Dava, ihtarların yapıldığı kira yılının bitiminden başlayarak bir aylık yasal süre içinde açılmıştır.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352/2; HMK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Kira sözleşmesi, ihtarnameler ve tebliğ şerhleri, ödeme kayıtları,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davalının kiralanandan TAHLİYESİNE,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Kira sözleşmesi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İki adet ihtarname ve tebliğ şerhleri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İki Haklı İhtar Nedeniyle Tahliye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