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[İNFAZ SAVCILIĞI: İL/İLÇE] CUMHURİYET BAŞSAVCILIĞI İNFAZ BÜROSUNA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İlamat No: [İLAMAT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Hapis cezasının infazının ertelenmesi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TALEP EDEN (HÜKÜMLÜ)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eden hakkında [MAHKEME, ESAS/KARAR NO] sayılı kararla verilen [SÜRE] hapis cezasının infazı için çağrı kâğıdı [TEBLİĞ TARİHİ]nde tebliğ 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Erteleme sebebi şudur: [AĞIR HASTALIK: sağlık kurulu raporu / GEBELİK VEYA YENİ DOĞUM / YÜKSEKÖĞRENİMİN TAMAMLANMASI, AİLEVİ FELAKET, İŞLERİN TASFİYESİ GİBİ ZARURİ HÂL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5275 sayılı Kanun m. 17 uyarınca üç yıl ve altındaki hapis cezalarının infazı, çağrı üzerine gelen hükümlünün istemiyle bir yılı geçmeyen sürelerle en fazla iki kez ertelenebilir.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Talep eden kaçma şüphesi taşımamaktadır; [varsa] önerilen güvence: [TEMİNAT].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5275 sayılı Kanun m. 16-17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Cezamın infazının [SÜRE] süreyle ERTELENMESİNE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[Sağlıksa] Sağlık kurulu raporu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Öğrenim/doğum/diğer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İnfazın Ertelenmesi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