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İŞ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İş kazası nedeniyle maddi ve manevi tazminat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 işyerinde [GÖREV] olarak çalışmakta iken [KAZA TARİHİ] tarihinde işyerinde/iş nedeniyle şu şekilde kazaya uğramıştır: [KAZANIN OLUŞ ŞEKLİ].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Kaza SGK'ya bildirilmiş ve iş kazası olarak [TESPİT EDİLMİŞTİR / SORUŞTURMASI SÜRMEKTEDİR]; davacıda [YARALANMA/MALULİYET ORANI] oluşmuştur.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İşveren; iş sağlığı ve güvenliği önlemlerini almamış, eğitim ve donanım sağlamamış, gözetim borcunu ihlal etmiştir: [İHMALLERİN DÖKÜMÜ].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Davacı; tedavi giderleri, çalışamadığı süre kayıpları ve sürekli iş göremezlik nedeniyle maddi; olayın yarattığı elem ve ıstırap nedeniyle manevi zarara uğramıştır.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49, m. 51, m. 56, m. 417; 6331 sayılı Kanun m. 4; 5510 sayılı Kanun m. 13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SGK iş kazası dosyası, müfettiş raporu, sağlık kurulu raporları, kusur ve hesap bilirkişisi incelemesi, tanık, ceza dosyası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şimdilik [TUTAR] TL maddi ve [TUTAR] TL manevi tazminatın kaza tarihinden itibaren yasal faiziyle davalıdan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İş kazası bildirimi ve tutanaklar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Sağlık raporları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Kazası Nedeniyle Tazminat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