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[İL] ARABULUCULUK BÜROSUNA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İşçilik alacakları ve/veya işe iade talebi için dava şartı arabuluculuk sürecinin başlatılması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(İŞÇİ)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(İŞVEREN)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Başvuran, karşı tarafa ait [İŞYERİ ADI VE ADRESİ] işyerinde [İŞE GİRİŞ] – [İŞTEN ÇIKIŞ] tarihleri arasında [GÖREV] olarak çalışmıştır.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İş sözleşmesi [FESİH TARİHİ] tarihinde [FESHİN ŞEKLİ] ile sona ermiştir.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Uyuşmazlık konusu talepler şunlardır: [KIDEM TAZMİNATI / İHBAR TAZMİNATI / ÜCRET / FAZLA MESAİ / YILLIK İZİN / UBGT / İŞE İADE].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[İşe iade talebinde] Fesih bildiriminin tebliğinden itibaren bir aylık başvuru süresine uyulmuştur.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7036 sayılı İş Mahkemeleri Kanunu m. 3; 6325 sayılı Kanun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Uyuşmazlık için arabuluculuk sürecinin başlatılmasını, görüşme gün ve yerinin tarafıma bildirilmesini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Fesih bildirimi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Hizmet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İşçilik Alacakları İçin Arabuluculuk Başvuru Formu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