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Feshin geçersizliğinin tespiti ile işe iade ve yasal sonuçlarına karar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davalıya ait ve otuz veya daha fazla işçi çalıştırılan işyerinde [İŞE GİRİŞ TARİHİ] tarihinden itibaren belirsiz süreli iş sözleşmesiyle [GÖREV] olarak çalışmış; kıdemi altı ayın üzerindedir.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İş sözleşmesi [FESİH TARİHİ] tarihinde [YAZILI SEBEP GÖSTERİLMEKSİZİN / GÖSTERİLEN SEBEP GEÇERLİ OLMAKSIZIN] feshedilmiştir; [varsa] savunma da alınmamıştır.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Fesih son çare olmalıdır ilkesine uyulmamış; feshin geçerli nedene dayandığını ispat yükü işverendedir.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Fesih bildiriminin tebliğinden itibaren bir ay içinde arabulucuya başvurulmuş; [SON TUTANAK TARİHİ] tarihli anlaşamama tutanağından itibaren iki haftalık yasal süre içinde dava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18-21; 7036 sayılı Kanun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Özlük dosyası, fesih bildirimi, SGK kayıtları,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Feshin GEÇERSİZLİĞİNE ve davacının İŞE İADESİNE; işe başlatılmama hâlinde ödenmesi gereken tazminatın [4-8 ay] ücret tutarında belirlenmesine; boşta geçen süre için dört aya kadar ücret ve diğer hakların hüküm altına alınmasına;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Fesih bildirimi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SGK hizmet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İade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