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Kesinleşen işe iade kararı uyarınca işe başlatılma başvurusudur.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(İŞÇİ)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(İŞVEREN)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[MAHKEME] Mahkemesinin [ESAS/KARAR NO] sayılı kararıyla feshin geçersizliğine ve keşidecinin işe iadesine karar verilmiş; karar [KESİNLEŞME TARİHİ] tarihinde kesinleşmiştir.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4857 sayılı Kanun m. 21 uyarınca işçi, kesinleşen kararın tebliğinden itibaren on iş günü içinde işe başlamak için işverene başvurmak zorundadır; işveren bir ay içinde işe başlatmalıdır.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Keşideci bu başvuruyu yasal süresi içinde yapmakta olup işe başlamaya hazırdır.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4857 sayılı İş Kanunu m. 21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Kesinleşen işe iade kararı uyarınca İŞE BAŞLATILMAMI; işe başlatılmadığım takdirde kararda belirlenen işe başlatmama tazminatı, dört aya kadar boşta geçen süre ücreti ve diğer yasal haklarımın ödenmesi için yasal yollara başvuracağımı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İşe iade kararı ve kesinleşme şerhi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İade Kararı Sonrası İşe Başlatma Başvurusu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