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MAHKEMESİNE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Dava değerinin/talep sonucunun ıslah yoluyla artırılması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ISLAH EDEN (DAVACI)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Mahkemenizin yukarıda numarası yazılı dosyasında dava, fazlaya ilişkin haklar saklı tutularak [İLK TUTAR] TL üzerinden açılmıştır.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Yargılama sırasında alınan [BİLİRKİŞİ RAPORU TARİHİ] tarihli raporla alacağın/zararın [RAPOR TUTARI] TL olduğu belirlenmiştir.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HMK m. 176 vd. uyarınca taraflar, yapmış oldukları usul işlemlerini kısmen veya tamamen ıslah edebilir; işbu ıslahla talep sonucu artırılmaktadır.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Artırılan kısım için nispi harç [YATIRILMIŞTIR/YATIRILACAKTIR].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HMK m. 176-182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Talep sonucumuzu [İLK TUTAR] TL'den [YENİ TUTAR] TL'ye yükselttiğimizin kabulü ile davanın ıslah edilen tutar üzerinden kabulüne; artan kısma [DAVA/ISLAH] tarihinden itibaren faiz yürütülmesine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Islah harcı makbuzu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Islah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