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[BÖLGE ADLİYE MAHKEMESİ] İLGİLİ HUKUK DAİRESİNE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(GÖNDERİLMEK ÜZERE [KARARI VEREN MAHKEME] MAHKEMESİNE)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[ESAS/KARAR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İlk derece mahkemesi kararının istinaf incelemesi sonucunda kaldırılması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İSTİNAF YOLUNA BAŞVURAN (DAVACI/DAVALI)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KARŞI TARAF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[MAHKEME]nin [KARAR TARİHİ] tarihli ve [ESAS/KARAR NO] sayılı kararı [TEBLİĞ TARİHİ]nde tebliğ edilmiştir; başvuru iki haftalık yasal süre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Karar usul yönünden hukuka aykırıdır: [GÖREV-YETKİ, TARAF TEŞKİLİ, DELİLLERİN TOPLANMAMASI, GEREKÇE EKSİKLİĞİ — somut açıklama].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Karar esas yönünden hukuka aykırıdır: [MADDİ VAKIALARIN YANLIŞ DEĞERLENDİRİLMESİ, HUKUK KURALININ YANLIŞ UYGULANMASI, BİLİRKİŞİ RAPORUNA AYKIRI HÜKÜM — başlıklar hâlinde].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İstinaf sebepleri ve gerekçeleri yukarıda gösterilmiş olup incelemenin [DURUŞMALI] yapılması talep olunur.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HMK m. 341-360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İstinaf başvurumuzun kabulü ile ilk derece mahkemesi kararının KALDIRILMASINA ve [DAVANIN KABULÜNE/REDDİNE — yeniden hüküm] karar verilmesini; yargılama giderlerinin karşı tarafa yükletilmesini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Yeni dayanak belgeler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İstinaf Başvuru Dilekçesi (Hukuk Davası)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