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AİLE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Velayeti davacıda bulunan müşterek çocuk için iştirak nafakasına hükmedilmesi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Tarafların [BOŞANMA KARARI: MAHKEME, TARİH, SAYI] ile boşanmalarına ve müşterek çocuğun velayetinin davacıya verilmesine karar verilmiştir.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[DOĞUM TARİHİ] doğumlu müşterek çocuk [AD], davacının yanında yaşamakta olup eğitim, bakım, sağlık ve barınma giderleri sürekli artmaktadır: [KALEM KALEM AYLIK GİDERLER].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Ana ve baba, çocuğun bakım ve eğitim giderlerine güçleri oranında katılmakla yükümlüdür; davalı bugüne kadar bu giderlere [HİÇ / YETERİNCE] katılmamıştır.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Davalının geliri ve malvarlığı katkı sağlamaya elverişlidir: [BİLGİLER].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182/3, m. 327, m. 329-330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Boşanma ve velayet kararı, gider belgeleri, ekonomik ve sosyal durum araştırması,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müşterek çocuk için dava tarihinden geçerli olmak üzere aylık [TUTAR] TL İŞTİRAK NAFAKASINA hükmedilmesine; yargılama giderlerinin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Boşanma/velayet kararı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Çocuğun gider belgeleri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İştirak Nafakası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