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[GÖREVLİ MAHKEME]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Borç olmadığı hâlde icra tehdidi altında ödenen paranın geri alınması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davacı aleyhine [İCRA DAİRESİ, TAKİP NO] sayılı dosyada takip başlatmış; davacı, cebri icra tehdidi altında [ÖDEME TARİHİ] tarihinde [TUTAR] TL ödemek zorunda kalmıştır.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Davacının davalıya gerçekte borcu yoktur: [SOMUT 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Ödeme, takip kesinleştiği için maddi hukuka aykırı biçimde tahsil edilmiştir; dava, paranın tamamen ödendiği tarihten itibaren bir yıllık süre içinde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72/6-7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İcra dosyası, ödeme dekontları, borç ilişkisine dair belgeler,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icra dosyasına ödenen [TUTAR] TL'nin ödeme tarihinden itibaren yasal faiziyle davalıdan İSTİRDADINA;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İcra dosyası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Ödeme dekontları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İstirdat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