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[GÖREVLİ MAHKEME: ASLİYE HUKUK / ASLİYE TİCARET / TÜKETİCİ]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Borçlunun icra takibine itirazının iptali, takibin devamı ve icra inkâr tazminatı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 alacaklı, davalı borçlu aleyhine [İCRA DAİRESİ, TAKİP NO] sayılı dosyada [TUTAR] TL alacak için ilamsız takip başlatmıştır.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Davalı, [İTİRAZ TARİHİ] tarihli itirazıyla takibi durdurmuştur; itiraz haksızdır.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Alacağın varlığı şu belgelerle sabittir: [SÖZLEŞME, FATURA, TESLİM BELGESİ, CARİ HESAP EKSTRESİ, TANIK vb.].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Dava, itirazın tebliğinden itibaren bir yıllık yasal süre içinde açılmıştır. [Ticari/tüketici uyuşmazlıklarında dava şartı arabuluculuk tutanağı eklenir.]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67; TBK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İcra dosyası, alacağın dayanağı belgeler, ticari defterler,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davalının [TAKİP NO] sayılı dosyadaki itirazının İPTALİNE, takibin [TUTAR] TL üzerinden DEVAMINA; alacağın yüzde yirmisinden az olmamak üzere icra inkâr tazminatına hükmedilmesine;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İcra dosyası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Alacak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[Gerekliyse] Arabuluculuk son tutanağı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İtirazın İptali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