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Kamulaştırmasız el atılan taşınmazın bedelinin tahsili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[İDARE: BELEDİYE/KARAYOLLARI/DSİ vb.]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[TAPU BİLGİLERİ] taşınmazın malikidir.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 idare, kamulaştırma yapmaksızın taşınmaza [TARİH]te fiilen el atmıştır: [YOL/PARK/OKUL/TESİS YAPIMI, ALTYAPI GEÇİRİLMESİ — kapsam ve fiili durum].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[Hukuki el atmada] Taşınmaz, imar planında [KAMU HİZMET ALANI] olarak ayrılmış; uzun süredir kamulaştırılmayarak mülkiyet hakkı ölçüsüz biçimde kısıtlanmıştır.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El atma nedeniyle davacı taşınmazından yararlanamamakta olup bedelin ödenmesi anayasal zorunluluktur.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Anayasa m. 35, m. 46; 2942 sayılı Kamulaştırma Kanunu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ve imar kayıtları, keşif, bilirkişi, fen incelemesi,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taşınmazın bedeli olarak şimdilik [TUTAR] TL'nin dava tarihinden itibaren yasal faiziyle davalı idareden tahsiline; bedelin ödenmesi karşılığında taşınmazın idare adına tesciline;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İmar durumu belgesi ve fotoğraflar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Kamulaştırmasız El Atma Nedeniyle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