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İŞ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Kıdem ve ihbar tazminatı ile sair işçilik alacaklarının tahsili istemidir.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HARCA ESAS DEĞER : </w:t>
      </w:r>
      <w:r>
        <w:rPr>
          <w:rFonts w:ascii="Times New Roman" w:hAnsi="Times New Roman"/>
          <w:sz w:val="24"/>
        </w:rPr>
        <w:t>[TUTAR] TL (fazlaya ilişkin haklar saklıdır)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VEKİLİ : </w:t>
      </w:r>
      <w:r>
        <w:rPr>
          <w:rFonts w:ascii="Times New Roman" w:hAnsi="Times New Roman"/>
          <w:sz w:val="24"/>
        </w:rPr>
        <w:t>[VARSA] Av. [AD SOYAD] — [ADRES]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Davacı, davalı işverene ait işyerinde [İŞE GİRİŞ TARİHİ] – [İŞTEN ÇIKIŞ TARİHİ] tarihleri arasında [GÖREV] olarak, en son [BRÜT/NET ÜCRET] TL ücretle çalışmıştır.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İş sözleşmesi [İŞVERENCE HAKSIZ FESHEDİLMİŞ / İŞÇİ TARAFINDAN HAKLI NEDENLE FESHEDİLMİŞTİR]: [FESHİN GELİŞİMİ VE SEBEBİ].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Kıdem tazminatına hak kazanılmasına karşın ödeme yapılmamış; ihbar öneline uyulmamış/ihbar tazminatı ödenmemiştir.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[Varsa] Ödenmeyen ücret, fazla mesai, yıllık izin, ulusal bayram ve genel tatil alacakları da mevcuttur.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5. Dava şartı arabuluculuk yoluna başvurulmuş, [TARİH] tarihli son tutanakla anlaşma sağlanamamıştır.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1475 sayılı Kanun m. 14; 4857 sayılı İş Kanunu m. 17, m. 32, m. 41, m. 59; 7036 sayılı Kanun m. 3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SGK kayıtları, işyeri özlük dosyası, ücret bordroları, banka kayıtları, tanık, bilirkişi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Fazlaya ilişkin haklar saklı kalmak üzere; şimdilik [TUTAR] TL kıdem tazminatının akdin feshi tarihinden itibaren bankalarca mevduata uygulanan en yüksek faiziyle, [TUTAR] TL ihbar tazminatı ve diğer alacakların yasal faizleriyle davalıdan tahsiline; yargılama giderleri ile vekâlet ücretinin davalıya yükletilmesine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Arabuluculuk son tutanağı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Fesih bildirimi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3. SGK hizmet dökümü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Kıdem ve İhbar Tazminatı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