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SULH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Yeni kira döneminde kira bedelinin tespiti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Davalı, [ADRES] adresindeki taşınmazda [SÖZLEŞME TARİHİ] tarihli sözleşmeyle kiracı olup güncel aylık kira bedeli [MEVCUT KİRA] TL'dir.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Sözleşmenin başlangıcından bu yana [SÜRE] geçmiş; mevcut bedel, emsal taşınmazların kira bedellerinin ve ekonomik koşulların çok altında kalmıştır.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Taşınmazın yüzölçümü, konumu, yaşı ve nitelikleri ile emsal kira bedelleri dikkate alındığında aylık kira bedelinin [TALEP EDİLEN KİRA] TL olarak tespiti gerekir.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[Beş yıldan uzun süreli veya beş yıldan sonra yenilenen sözleşmelerde bedel, TÜFE oranıyla bağlı olmaksızın hakkaniyete göre belirlenir.]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344-345; HMK ilgili hükümleri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Kira sözleşmesi, emsal kira sözleşmeleri, keşif, bilirkişi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[YENİ DÖNEM BAŞLANGICI] tarihinden başlayan yeni kira döneminde aylık kira bedelinin net/brüt [TALEP EDİLEN KİRA] TL olarak TESPİTİNE,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Kira sözleşmesi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Emsal kira araştırması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[Varsa] İhtarname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 Bedelinin Tespiti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