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[MURİSİN SON YERLEŞİM YERİ] SULH HUKUK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Yasal süresi içinde mirasın kayıtsız şartsız reddinin tespiti ve tescili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MİRASI REDDEDEN MİRASÇI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Muris [MURİSİN ADI SOYADI, T.C. NO] [ÖLÜM TARİHİ] tarihinde vefat etmiştir; başvuran, murisin [YAKINLIK DERECESİ] sıfatıyla yasal mirasçısıdır.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Başvuran, mirası kayıtsız ve şartsız olarak reddetmektedir.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İşbu ret beyanı, ölümün (mirasçılığın) öğrenildiği [ÖĞRENME TARİHİ] tarihinden itibaren üç aylık yasal süre içindedir.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Ret beyanının tespiti ile özel kütüğe tescili talep edilmektedir.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TMK m. 605-609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Mirası kayıtsız şartsız REDDETTİĞİMİN TESPİTİNE, ret beyanının özel kütüğe TESCİLİNE ve tarafıma reddi gösterir belge verilmesine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Ölüm belgesi / nüfus kayıt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Mirasçılık belgesi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Mirasın Reddi Talebi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