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AİLE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Hükmedilen nafakanın günün ekonomik koşullarına göre artırılması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[MAHKEME] Mahkemesinin [TARİH] tarihli ve [ESAS/KARAR NO] sayılı kararıyla davacı lehine aylık [MEVCUT NAFAKA] TL [YOKSULLUK/İŞTİRAK] nafakasına hükmedilmiştir.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Kararın üzerinden [SÜRE] geçmiş; enflasyon, kira, gıda, eğitim ve sağlık giderlerindeki artış karşısında nafaka ihtiyacı karşılamaktan uzaklaşmıştır. Aylık zorunlu giderler şunlardır: [KALEM KALEM GİDERLER].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Davalının gelir ve malvarlığı artmıştır: [DAVALININ MESLEĞİ, GELİRİ, MALVARLIĞINA İLİŞKİN BİLGİLER].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Tarafların sosyal ve ekonomik durumları ile hakkaniyet, nafakanın aylık [TALEP EDİLEN NAFAKA] TL'ye çıkarılmasını gerektirir.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176/4, m. 331; [iştirak nafakası için] TMK m. 182/3, m. 330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Kesinleşmiş nafaka kararı, gider belgeleri, ekonomik ve sosyal durum araştırması,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aylık nafakanın dava tarihinden itibaren geçerli olmak üzere [TALEP EDİLEN NAFAKA] TL'ye ÇIKARILMASINA; [gelecek yıllar için TÜFE oranında artırım kararı verilmesine];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Nafaka kararı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Gider ve gelir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Nafaka Artırım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