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Ödenmeyen ücret alacaklarının ödenmesi; ödenmemesi hâlinde yasal hakların kullanılacağı ihtarıdır.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(İŞÇİ)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(İŞVEREN)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Keşideci, muhataba ait işyerinde [İŞE GİRİŞ TARİHİ] tarihinden bu yana [GÖREV] olarak [ÜCRET] TL ücretle çalışmaktadır.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[AY/YIL] dönemlerine ait toplam [TUTAR] TL ücret ödenmemiştir.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Ücreti ödeme gününden itibaren yirmi gün içinde mücbir neden dışında ödenmeyen işçi, iş görme borcunu yerine getirmekten kaçınabilir; ayrıca ücreti ödenmeyen işçinin haklı fesih hakkı saklıdır.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4857 sayılı İş Kanunu m. 32, m. 34, m. 24/II-e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Birikmiş [TUTAR] TL ücret alacağımın işbu ihtarnamenin tebliğinden itibaren [SÜRE, ör. 3] iş günü içinde [IBAN] hesabıma ödenmesini; ödenmediği takdirde çalışmaktan kaçınma ve haklı fesih haklarımı kullanacağımı, alacağın en yüksek mevduat faiziyle tahsili için yasal yollara başvuracağımı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Ücret bordroları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Banka hesap dökümü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Ödenmeyen Ücret İçin İşverene İhtarname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