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ASLİYE HUKUK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Sebepsiz zenginleşme nedeniyle verilen şeyin iadesi istemidir.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HARCA ESAS DEĞER : </w:t>
      </w:r>
      <w:r>
        <w:rPr>
          <w:rFonts w:ascii="Times New Roman" w:hAnsi="Times New Roman"/>
          <w:sz w:val="24"/>
        </w:rPr>
        <w:t>[TUTAR] TL (fazlaya ilişkin haklar saklıdır)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Davacı, davalıya [TARİH] tarihinde şu kazandırmada bulunmuştur: [YANLIŞLIKLA YAPILAN ÖDEME / GERÇEKLEŞMEYEN SEBEBE DAYALI ÖDEME / GEÇERSİZ SÖZLEŞME UYARINCA VERİLEN — tutar ve belge bilgisi].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Kazandırmanın dayandığı sebep [BAŞTAN YOKTUR / SONRADAN ORTADAN KALKMIŞTIR / GERÇEKLEŞMEMİŞTİR]: [AÇIKLAMA].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Davalı, haklı bir sebep olmaksızın davacı aleyhine zenginleşmiştir; iade talepleri sonuçsuz kalmıştır: [İHTAR/YAZIŞMALAR].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Dava, iade hakkının öğrenildiği tarihten itibaren iki yıllık ve her hâlde on yıllık süre içindedir.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TBK m. 77-82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Ödeme belgeleri, banka kayıtları, yazışmalar, tanık, bilirkişi, yemin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Davanın kabulü ile [TUTAR] TL'nin [ÖDEME/İSTEM] tarihinden itibaren yasal faiziyle davalıdan tahsiline; yargılama giderlerinin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Ödeme belgeleri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İade talebi yazışmaları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Sebepsiz Zenginleşme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