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SOSYAL GÜVENLİK KURUMU [İL MÜDÜRLÜĞÜ / MERKEZ] İDARİ PARA CEZASI İTİRAZ KOMİSYONUNA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İdari para cezasının kaldırılması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İTİRAZ EDEN (İŞVEREN)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Kurumunuzun [TARİH, SAYI] sayılı yazısıyla itiraz eden aleyhine [FİİL: bildirge verilmemesi, geç bildirim vb.] gerekçesiyle [TUTAR] TL idari para cezası uygulanmış; tebliğ [TEBLİĞ TARİHİ]nde yapılmıştır. İtiraz on beş günlük yasal süre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Ceza hukuka aykırıdır: [FİİLİN GERÇEKLEŞMEDİĞİ / BİLDİRİMİN SÜRESİNDE YAPILDIĞI / MÜCBİR SEBEP / TEKNİK ARIZA — belgeleriyle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[Varsa] Aynı fiil için mükerrer ceza uygulanmıştır / ceza tutarı hatalı hesaplanmıştır.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İtirazın reddi hâlinde otuz gün içinde yetkili idare mahkemesinde dava açma hakkı saklıdır.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5510 sayılı Kanun m. 102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İtirazın kabulü ile [TARİH, SAYI] sayılı idari para cezasının KALDIRILMASINA karar verilmesini; sonucun yazılı olarak bildirilmesini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Ceza tebligatı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Bildirge ve ödeme kayıtları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İdari Para Cezasına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