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[GÖREVLİ MAHKEME: ASLİYE HUKUK / ASLİYE TİCARET]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Sözleşmeden kaynaklanan alacağın tahsili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 arasında [SÖZLEŞME TARİHİ] tarihli [SÖZLEŞMENİN KONUSU: satış, eser, hizmet, vekâlet] sözleşmesi kurulmuştur.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Davacı, sözleşmeden doğan edimlerini eksiksiz ifa etmiştir: [TESLİM/İFA BELGELERİ].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Davalı, karşılığında ödemesi gereken [TUTAR] TL'yi [VADE TARİHİ]nde ödememiştir; [İHTAR TARİHİ] tarihli ihtara rağmen sonuç alınamamıştır.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[Ticari işlerde] Dava şartı arabuluculuk süreci [TARİH] tarihli anlaşamama tutanağıyla tamamlanmıştır.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112 vd., m. 117; [ticari işte] TTK m. 5/A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Sözleşme, fatura ve teslim belgeleri, cari hesap ekstresi, ticari defterler, ihtarname,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[TUTAR] TL alacağın vade tarihinden itibaren [YASAL/TİCARİ] faiziyle davalıdan tahsiline;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Sözleşme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Fatura/teslim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[Gerekliyse] Arabuluculuk son tutanağı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Sözleşmeye Dayalı Alacak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