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CUMHURİYET BAŞSAVCILIĞINA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Şüpheli hakkında soruşturma başlatılması ve kamu davası açılması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MÜŞTEKİ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ŞÜPHELİ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[OLAY TARİHİ] tarihinde [OLAY YERİ]nde şu olay yaşanmıştır: [OLAYIN TARİH SIRALI, AYRINTILI ANLATIMI].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Şüphelinin eylemi; [DOLANDIRICILIK / TEHDİT / HAKARET / KASTEN YARALAMA / GÜVENİ KÖTÜYE KULLANMA / DİĞER] suçunu oluşturmaktadır: [TCK MADDE NUMARASI].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Olaya ilişkin deliller şunlardır: [MESAJ/ARAMA KAYITLARI, DEKONTLAR, KAMERA GÖRÜNTÜLERİ, TANIKLAR — liste].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[Takibi şikâyete bağlı suçlarda] Şikâyet, fiilin ve failin öğrenildiği [ÖĞRENME TARİHİ]nden itibaren altı aylık yasal süre içindedir.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CMK m. 158; TCK ilgili maddeleri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Şüpheli hakkında soruşturma başlatılarak delillerin toplanmasını, kamera kayıtlarının kaybolmadan temini için gerekli kararların alınmasını ve kamu davası açılmasını; müşteki sıfatıyla haklarımın korunmasını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Delil listesinde sayılan belgeler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Kimlik fotokopisi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Suç Duyurusu (Şikâyet)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