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SULH HUKUK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Yazılı tahliye taahhüdüne dayalı olarak kiralananın tahliyesi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Davalı, [ADRES] adresindeki taşınmazda [SÖZLEŞME TARİHİ] tarihli kira sözleşmesiyle kiracıdır.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Davalı, kiralananın tesliminden sonra düzenlenen [TAAHHÜT TARİHİ] tarihli yazılı taahhütle kiralananı [TAHLİYE TARİHİ] tarihinde boşaltmayı üstlenmiştir.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Taahhüt edilen tarih geçtiği hâlde kiralanan boşaltılmamıştır.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Dava, taahhüt edilen tahliye tarihinden itibaren bir aylık yasal süre içinde açılmıştır.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TBK m. 352/1; HMK ilgili hükümleri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Kira sözleşmesi, yazılı tahliye taahhüdü, tanık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Davanın kabulü ile davalının kiralanandan TAHLİYESİNE, yargılama giderleri ile vekâlet ücretinin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Kira sözleşmesi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Yazılı tahliye taahhüdü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Tahliye Taahhüdüne Dayalı Tahliye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