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YARGITAY İLGİLİ HUKUK DAİRESİNE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(GÖNDERİLMEK ÜZERE [BÖLGE ADLİYE MAHKEMESİ .... HUKUK DAİRESİNE])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Dosya No: [ESAS/KARAR NO]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Bölge adliye mahkemesi kararının temyizen bozulması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TEMYİZ EDEN (DAVACI/DAVALI)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KARŞI TARAF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[BAM DAİRESİ]nin [KARAR TARİHİ] tarihli ve [ESAS/KARAR NO] sayılı kararı [TEBLİĞ TARİHİ]nde tebliğ edilmiştir; temyiz iki haftalık yasal süre içindedir.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Karar, temyizi kabil kararlardandır: [PARASAL SINIR/KARAR TÜRÜ yönünden açıklama].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Temyiz sebepleri şunlardır: [HUKUK KURALININ YANLIŞ UYGULANMASI VEYA UYGULANMAMASI — madde madde, gerekçeleriyle].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Kararın icrasının geri bırakılması (tehir-i icra) talep edilmekte olup teminat yatırılacaktır.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HMK m. 361-373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Temyiz istemimizin kabulü ile bölge adliye mahkemesi kararının BOZULMASINA; [varsa] tehir-i icra kararı verilmesine; yargılama giderlerinin karşı tarafa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[Tehir-i icra için] Teminata ilişkin belgeler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Temyiz Başvuru Dilekçesi (Hukuk Davası)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