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Saklı payı zedeleyen kazandırmaların tenkisi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[ADI SOYADI], [ÖLÜM TARİHİ] tarihinde vefat etmiş; davacı, murisin [ALTSOYU/EŞİ/ANNE-BABASI] olarak saklı pay sahibi mirasçısıdır.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Muris, sağlığında/ölüme bağlı tasarrufuyla davalıya şu kazandırmaları yapmıştır: [TAŞINMAZ DEVRİ, BAĞIŞ, VASİYET — tarih ve konularıyla].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Bu kazandırmalar, davacının saklı payını zedelemektedir: [TEREKENİN VE SAKLI PAYIN HESABINA İLİŞKİN ÖZET].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Dava, saklı payın zedelendiğinin öğrenildiği tarihten itibaren bir yıl ve her hâlde kanuni süre içinde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560-571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ve banka kayıtları, vasiyetname, tereke tespit dosyası,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Saklı payı zedeleyen kazandırmaların saklı pay tamamlanıncaya kadar TENKİSİNE; fazlaya ilişkin haklar saklı kalmak üzere şimdilik [TUTAR] TL'nin yasal faiziyle davalıdan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Mirasçılık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Vasiyetname ve devir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Tenkis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