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[MURİSİN SON YERLEŞİM YERİ]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Murisin terekesinin tespiti ve gerekli koruma önlemlerinin alınması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TALEP EDEN (MİRASÇI)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[ADI SOYADI, T.C. NO], [ÖLÜM TARİHİ] tarihinde vefat etmiştir; talep eden yasal mirasçısıdır.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Murisin bilinen malvarlığı şunlardır: [TAŞINMAZLAR, ARAÇLAR, HESAPLAR, ALACAKLAR, KIYMETLİ EŞYA]; tam döküm bilinememektedir.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Tereke unsurlarının kaybolması, kaçırılması veya zarar görmesi tehlikesi vardır: [SOMUT ENDİŞE SEBEPLERİ].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Terekenin yazımı (defterinin tutulması) ve gereken koruma önlemlerinin alınması istenmektedir.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589-592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Murisin terekesine dâhil tüm mal, hak ve borçların TESPİTİ ile deftere geçirilmesine; ilgili kurumlara (tapu, bankalar, vergi dairesi, noterlikler) müzekkere yazılmasına; gerekli koruma önlemlerinin alınmasına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Ölüm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Mirasçılık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Malvarlığına ilişkin bilgiler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Terekenin Tespiti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