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[SİGORTA ŞİRKETİ UNVANI] GENEL MÜDÜRLÜĞÜNE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Zorunlu mali sorumluluk sigortası kapsamında tazminat ödenmesi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(ZARAR GÖREN)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[KAZA TARİHİ] tarihinde [KAZA YERİ]nde, şirketiniz nezdinde [POLİÇE NO] sayılı poliçeyle sigortalı [PLAKA] aracın karıştığı kazada başvuran zarar görmüştür.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Kazanın oluşumu ve kusur durumu: [ÖZET + kaza tespit tutanağı bilgisi].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Talep edilen zarar kalemleri: [ARAÇ HASARI / DEĞER KAYBI / YARALANMA-SÜREKLİ SAKATLIK / DESTEKTEN YOKSUN KALMA — kalem kalem tutarlar].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KTK m. 97 uyarınca dava ve icra yoluna gidilmeden önce sigortacıya yazılı başvuru zorunludur; işbu başvuru bu kapsamda yapılmaktadır.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2918 sayılı KTK m. 97-99; Karayolları Motorlu Araçlar Zorunlu Mali Sorumluluk Sigortası Genel Şartları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Belirtilen zararların yasal süresi içinde değerlendirilerek toplam [TUTAR] TL tazminatın [IBAN] hesabına ödenmesini; eksik veya ret hâlinde gerekçeli cevabın yazılı olarak bildirilmesini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Kaza tespit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Ruhsat ve kimlik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Hasar fotoğrafları/ekspertiz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4. [Yaralanmada] Sağlık raporları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5. Banka bilgileri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Kazasında Sigorta Şirketine Başvuru Formu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