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TÜKETİCİ HAKEM HEYETİ BAŞKANLIĞINA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Tüketici uyuşmazlığı hakkında karar verilmesi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(TÜKETİCİ)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ŞİKÂYET EDİLEN (SATICI/SAĞLAYICI)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Başvuran, şikâyet edilenden [TARİH] tarihinde [MAL/HİZMET] satın almıştır; bedeli [TUTAR] TL'dir: [FATURA/FİŞ/SÖZLEŞME BİLGİSİ].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Uyuşmazlığın konusu şudur: [AYIPLI MAL/AYIPLI HİZMET/SÖZLEŞMEDEN KAYNAKLI DİĞER UYUŞMAZLIK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Satıcıya [TARİH] tarihinde [TELEFON/YAZILI/MAĞAZA] yoluyla başvurulmuş; talep [REDDEDİLMİŞ/CEVAPSIZ KALMIŞTIR].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Uyuşmazlık tutarı, tüketici hakem heyetlerinin görev sınırı içindedir.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68; Tüketici Hakem Heyetleri Yönetmeliği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Başvurumun kabulü ile [BEDEL İADESİ / MALIN AYIPSIZ MİSLİYLE DEĞİŞİMİ / ÜCRETSİZ ONARIM / BEDELDEN İNDİRİM / SÖZLEŞMENİN FESHİ] yönünde karar verilmesini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Fatura/fiş veya sözleşme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Yazışma ve servis kayıtları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Fotoğraf ve diğer deliller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Başvuru Formu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