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[KARARI VEREN] SULH CEZA HÂKİMLİĞİ / MAHKEMESİ ARACILIĞIYLA İTİRAZ MERCİİNE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[SORGU/ESAS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Tutuklama kararına itiraz ile tahliye, olmadığı takdirde adli kontrol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İTİRAZ EDEN (ŞÜPHELİ/SANIK MÜDAFİİ)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[HÂKİMLİK/MAHKEME], [KARAR TARİHİ] tarihinde şüpheli/sanık hakkında [SUÇ] suçundan tutuklama kararı vermiştir; itiraz yedi günlük yasal süre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Tutuklamanın koşulları oluşmamıştır: kuvvetli suç şüphesini gösterir somut delil yoktur; kaçma ve delil karartma şüphesine dayanak olgular gösterilmemiştir.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Şüpheli/sanığın sabit ikametgâhı, düzenli işi ve ailesi vardır: [BİLGİLER]; delillerin tamamı toplanmıştır.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Tutuklama ölçüsüz hâle gelmiştir; adli kontrol tedbirleri amaca ulaşmak için yeterlidir.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CMK m. 100-101, m. 104, m. 109, m. 267 vd.; Anayasa m. 19; AİHS m. 5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İtirazın kabulü ile tutuklama kararının KALDIRILMASINA ve şüphelinin/sanığın TAHLİYESİNE; olmadığı takdirde uygun bir ADLİ KONTROL tedbiri uygulanarak tahliyesine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İkamet ve iş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Sağlık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Tutukluluğa İtiraz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