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[MURİSİN SON YERLEŞİM YERİ]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Vasiyetnamenin iptali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[ADI SOYADI], [ÖLÜM TARİHİ] tarihinde vefat etmiş; [VASİYETNAME TARİHİ] tarihli [RESMÎ/EL YAZILI/SÖZLÜ] vasiyetname [AÇILMA TARİHİ] tarihinde açılıp okunmuştur.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Vasiyetname şu nedenlerle geçersizdir: [EHLİYETSİZLİK: murisin tasarruf anında ayırt etme gücünden yoksun olması / İRADE SAKATLIĞI: yanılma-aldatma-korkutma / ŞEKİL EKSİKLİĞİ / İÇERİĞİN HUKUKA-AHLAKA AYKIRILIĞI — somut olgular].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[Ehliyetsizlik iddiasında] Murisin sağlık durumuna ilişkin kayıtlar: [HASTANE/RAPOR BİLGİLERİ].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iptal sebebinin ve tasarrufun öğrenildiği tarihten itibaren bir yıllık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557-559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Vasiyetname ve açılma dosyası, sağlık kayıtları, Adli Tıp incelemesi,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murisin [VASİYETNAME TARİHİ] tarihli vasiyetnamesinin İPTALİNE;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Vasiyetname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Sağlık kayıtları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Vasiyetnamenin İptali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