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AİLE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Müşterek çocuğun velayetinin davalıdan alınarak davacıya verilmesi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Tarafların [BOŞANMA KARARI: MAHKEME, TARİH, SAYI] ile boşanmalarına ve [DOĞUM TARİHİ] doğumlu müşterek çocuğun velayetinin davalıya verilmesine karar verilmiştir.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Karar sonrasında koşullar çocuk aleyhine değişmiştir: [ÇOCUĞUN BAKIMSIZ KALMASI, EĞİTİMİNİN AKSAMASI, KİŞİSEL İLİŞKİNİN ENGELLENMESİ, YAŞAM KOŞULLARI gibi somut olaylar].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Davacının iş, konut ve aile düzeni çocuğun bakımı için elverişlidir: [AÇIKLAMA].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[Yaşı uygunsa] İdrak çağındaki çocuğun görüşünün alınması ve uzman incelemesi yaptırılması talep olunur; velayetin değiştirilmesi çocuğun üstün yararınadır.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183, m. 349; BM Çocuk Haklarına Dair Sözleşme m. 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Boşanma kararı, uzman (pedagog/psikolog) incelemesi, okul ve sağlık kayıtları,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müşterek çocuğun velayetinin davalıdan alınarak davacıya VERİLMESİNE; çocukla davalı arasında uygun kişisel ilişki düzenlenmesine; [iştirak nafakası talebi varsa belirtilir];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Boşanma/velayet kararı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Okul, sağlık ve diğer kayıtlar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Velayetin Değiştirilmesi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