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Kiralananı sonradan edinen yeni malikin gereksinimi nedeniyle taşınmazın tahliyesi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muhatabın kiracı olarak oturduğu [ADRES] adresindeki taşınmazı [EDİNME TARİHİ] tarihinde satın alarak malik olmuştur.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Keşideci, taşınmazı [KENDİSİ / EŞİ / ALTSOYU / ÜSTSOYU / BAKMAKLA YÜKÜMLÜ OLDUĞU KİŞİ] için [KONUT/İŞYERİ] olarak kullanmak zorundadır; gereksinimin dayandığı somut olgular şunlardır: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TBK m. 351 uyarınca yeni malik, edinme tarihinden başlayarak bir ay içinde durumu kiracıya yazılı olarak bildirmek koşuluyla sözleşmeyi altı ay sonra açacağı davayla sona erdirebilir.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351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Taşınmazı gereksinim nedeniyle kullanacağımdan, işbu bildirimin tebliğinden itibaren altı aylık sürenin sonunda kiralananı tahliye etmenizi; aksi hâlde tahliye davası açılacağını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Malikin Gereksinim Nedeniyle Tahliye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