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İşlemi tesis eden rektörlük</w:t>
            </w:r>
          </w:p>
          <w:p>
            <w:pPr>
              <w:spacing w:after="40"/>
            </w:pPr>
            <w:r>
              <w:rPr>
                <w:sz w:val="18"/>
              </w:rPr>
              <w:t xml:space="preserve">Süre          : Tebliğden itibaren 60 gün içinde dava; 2577 s.K. m.11 uyarınca idari başvuru süreyi durdurur.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REKTÖRLÜĞÜNE</w:t>
      </w:r>
    </w:p>
    <w:p>
      <w:pPr>
        <w:spacing w:after="200"/>
      </w:pPr>
      <w:r>
        <w:rPr>
          <w:b/>
        </w:rPr>
        <w:t xml:space="preserve">KONU : </w:t>
      </w:r>
      <w:r>
        <w:t xml:space="preserve">Naklen atamama muvafakat verilmemesine ilişkin [TARİH] tarihli işleme itirazımdır.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Unvan / Kadro   : [UNVAN]</w:t>
      </w:r>
    </w:p>
    <w:p>
      <w:pPr>
        <w:spacing w:after="0"/>
      </w:pPr>
      <w:r>
        <w:t xml:space="preserve">Kurum / Birim   : [ÜNİVERSİTE] / [FAKÜLTE — BÖLÜM]</w:t>
      </w:r>
    </w:p>
    <w:p>
      <w:pPr>
        <w:spacing w:after="0"/>
      </w:pPr>
      <w:r>
        <w:t xml:space="preserve">Adres           : [TEBLİGATA ELVERİŞLİ ADRES]</w:t>
      </w:r>
    </w:p>
    <w:p>
      <w:pPr>
        <w:spacing w:after="0"/>
      </w:pPr>
      <w:r>
        <w:t xml:space="preserve">E-posta / Tel   : [E-POSTA] — [TELEFON]</w:t>
      </w:r>
    </w:p>
    <w:p>
      <w:pPr>
        <w:spacing w:before="200" w:after="80"/>
      </w:pPr>
      <w:r>
        <w:rPr>
          <w:b/>
          <w:sz w:val="22"/>
        </w:rPr>
        <w:t xml:space="preserve">AÇIKLAMALAR</w:t>
      </w:r>
    </w:p>
    <w:p>
      <w:pPr>
        <w:spacing w:after="120"/>
        <w:jc w:val="both"/>
      </w:pPr>
      <w:r>
        <w:t xml:space="preserve">1. [TARİH] tarihli ve [SAYI] sayılı işlemle, [HEDEF KURUM] kadrosuna naklen atanmam için istenen muvafakat verilmemiştir. İşlem [TEBLİĞ TARİHİ] tarihinde tarafıma tebliğ edilmiştir.</w:t>
      </w:r>
    </w:p>
    <w:p>
      <w:pPr>
        <w:spacing w:after="120"/>
        <w:jc w:val="both"/>
      </w:pPr>
      <w:r>
        <w:t xml:space="preserve">2. İşlemde muvafakat verilmeme gerekçesi somut olarak gösterilmemiş, yalnızca "hizmet gereği" ifadesiyle yetinilmiştir. Gerekçesiz işlem denetlenemez.</w:t>
      </w:r>
    </w:p>
    <w:p>
      <w:pPr>
        <w:spacing w:after="120"/>
        <w:jc w:val="both"/>
      </w:pPr>
      <w:r>
        <w:t xml:space="preserve">3. Birimimizde [UNVAN] kadrosunda [SAYI] öğretim elemanı görev yapmakta olup, ayrılmam hâlinde eğitim-öğretim aksamayacaktır. Ders yüküm ve devredilecek görevlerim ektedir.</w:t>
      </w:r>
    </w:p>
    <w:p>
      <w:pPr>
        <w:spacing w:after="120"/>
        <w:jc w:val="both"/>
      </w:pPr>
      <w:r>
        <w:t xml:space="preserve">4. Naklen atama talebim [GEREKÇE — eş durumu / sağlık / aile birliği] sebebine dayanmakta olup, Anayasanın 41 inci maddesindeki ailenin korunması ilkesi ile 20 nci maddesindeki özel hayata saygı hakkı bakımından değerlendirilmesi gerekir.</w:t>
      </w:r>
    </w:p>
    <w:p>
      <w:pPr>
        <w:spacing w:after="120"/>
        <w:jc w:val="both"/>
      </w:pPr>
      <w:r>
        <w:t xml:space="preserve">5. Aynı birimde benzer durumdaki [AD SOYAD / UNVAN] hakkında muvafakat verilmiş olması, eşitlik ilkesi bakımından işlemin hukuka aykırılığını göstermektedir. [dosya bazında teyit edilmelidir]</w:t>
      </w:r>
    </w:p>
    <w:p>
      <w:pPr>
        <w:spacing w:after="120"/>
        <w:jc w:val="both"/>
      </w:pPr>
      <w:r>
        <w:t xml:space="preserve">6. İdarenin takdir yetkisi mutlak değildir; kamu yararı ve hizmet gerekleriyle bağlıdır. Somut olayda bu bağ kurulmamıştır.</w:t>
      </w:r>
    </w:p>
    <w:p>
      <w:pPr>
        <w:spacing w:before="200" w:after="80"/>
      </w:pPr>
      <w:r>
        <w:rPr>
          <w:b/>
          <w:sz w:val="22"/>
        </w:rPr>
        <w:t xml:space="preserve">HUKUKİ DAYANAK</w:t>
      </w:r>
    </w:p>
    <w:p>
      <w:pPr>
        <w:jc w:val="both"/>
      </w:pPr>
      <w:r>
        <w:t xml:space="preserve">2547 sayılı Kanun m.35, 2914 sayılı Kanun m.20 atfıyla 657 sayılı Kanun m.74; 2577 sayılı Kanun m.11 (idari başvuru) ve m.7 (dava süresi); Anayasa m.10, 20, 41, 125. Takdir yetkisinin gerekçe ve ölçülülük denetimi Danıştay içtihadına göre yapılır [dosya bazında teyit edilmelidir].</w:t>
      </w:r>
    </w:p>
    <w:p>
      <w:pPr>
        <w:spacing w:before="200" w:after="80"/>
      </w:pPr>
      <w:r>
        <w:rPr>
          <w:b/>
          <w:sz w:val="22"/>
        </w:rPr>
        <w:t xml:space="preserve">SONUÇ VE TALEP</w:t>
      </w:r>
    </w:p>
    <w:p>
      <w:pPr>
        <w:jc w:val="both"/>
      </w:pPr>
      <w:r>
        <w:t xml:space="preserve">İtirazımın kabulü ile muvafakat verilmemesine ilişkin işlemin geri alınmasını ve naklen atanabilmem için muvafakat verilmesini; aksi hâlde gerekçelerin ayrıntılı olarak bildirilmesini saygılarımla arz ederim.</w:t>
      </w:r>
    </w:p>
    <w:p>
      <w:pPr>
        <w:spacing w:before="200" w:after="80"/>
      </w:pPr>
      <w:r>
        <w:rPr>
          <w:b/>
          <w:sz w:val="22"/>
        </w:rPr>
        <w:t xml:space="preserve">EKLER</w:t>
      </w:r>
    </w:p>
    <w:p>
      <w:pPr>
        <w:spacing w:after="0"/>
      </w:pPr>
      <w:r>
        <w:t xml:space="preserve">1. İşlem yazısı ve tebliğ belgesi.</w:t>
      </w:r>
    </w:p>
    <w:p>
      <w:pPr>
        <w:spacing w:after="0"/>
      </w:pPr>
      <w:r>
        <w:t xml:space="preserve">2. Hedef kurumun muvafakat isteme yazısı.</w:t>
      </w:r>
    </w:p>
    <w:p>
      <w:pPr>
        <w:spacing w:after="0"/>
      </w:pPr>
      <w:r>
        <w:t xml:space="preserve">3. Ders yükü ve kadro dökümü.</w:t>
      </w:r>
    </w:p>
    <w:p>
      <w:pPr>
        <w:spacing w:after="0"/>
      </w:pPr>
      <w:r>
        <w:t xml:space="preserve">4. Gerekçeye ilişkin belgeler (eş durumu, sağlık vb.).</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